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464" w:type="dxa"/>
        <w:tblBorders>
          <w:top w:val="nil"/>
          <w:left w:val="nil"/>
          <w:bottom w:val="nil"/>
          <w:right w:val="nil"/>
          <w:insideH w:val="nil"/>
          <w:insideV w:val="nil"/>
        </w:tblBorders>
        <w:tblLayout w:type="fixed"/>
        <w:tblLook w:val="0000" w:firstRow="0" w:lastRow="0" w:firstColumn="0" w:lastColumn="0" w:noHBand="0" w:noVBand="0"/>
      </w:tblPr>
      <w:tblGrid>
        <w:gridCol w:w="3348"/>
        <w:gridCol w:w="6116"/>
      </w:tblGrid>
      <w:tr w:rsidR="002532BD" w:rsidRPr="002532BD" w14:paraId="2144F0E5" w14:textId="77777777">
        <w:tc>
          <w:tcPr>
            <w:tcW w:w="3348" w:type="dxa"/>
            <w:tcBorders>
              <w:top w:val="nil"/>
              <w:left w:val="nil"/>
              <w:bottom w:val="nil"/>
              <w:right w:val="nil"/>
            </w:tcBorders>
            <w:tcMar>
              <w:top w:w="0" w:type="dxa"/>
              <w:left w:w="108" w:type="dxa"/>
              <w:bottom w:w="0" w:type="dxa"/>
              <w:right w:w="108" w:type="dxa"/>
            </w:tcMar>
          </w:tcPr>
          <w:p w14:paraId="02821E81" w14:textId="369B1CC9" w:rsidR="00135176" w:rsidRPr="002532BD" w:rsidRDefault="00E056A5" w:rsidP="00D44F28">
            <w:pPr>
              <w:spacing w:after="0" w:line="240" w:lineRule="auto"/>
              <w:ind w:left="1" w:hanging="3"/>
              <w:jc w:val="center"/>
            </w:pPr>
            <w:r>
              <w:rPr>
                <w:b/>
                <w:noProof/>
                <w:sz w:val="26"/>
                <w:szCs w:val="26"/>
              </w:rPr>
              <mc:AlternateContent>
                <mc:Choice Requires="wps">
                  <w:drawing>
                    <wp:anchor distT="0" distB="0" distL="114300" distR="114300" simplePos="0" relativeHeight="251663360" behindDoc="0" locked="0" layoutInCell="1" allowOverlap="1" wp14:anchorId="77AC17D1" wp14:editId="7924E4CB">
                      <wp:simplePos x="0" y="0"/>
                      <wp:positionH relativeFrom="column">
                        <wp:posOffset>670560</wp:posOffset>
                      </wp:positionH>
                      <wp:positionV relativeFrom="paragraph">
                        <wp:posOffset>441960</wp:posOffset>
                      </wp:positionV>
                      <wp:extent cx="657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72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94C3DD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8pt,34.8pt" to="104.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" strokecolor="black [3213]"/>
                  </w:pict>
                </mc:Fallback>
              </mc:AlternateContent>
            </w:r>
            <w:r w:rsidR="00CD0215" w:rsidRPr="002532BD">
              <w:rPr>
                <w:b/>
                <w:sz w:val="26"/>
                <w:szCs w:val="26"/>
              </w:rPr>
              <w:t>HỘI ĐỒNG NHÂN DÂN</w:t>
            </w:r>
            <w:r w:rsidR="00CD0215" w:rsidRPr="002532BD">
              <w:rPr>
                <w:sz w:val="26"/>
                <w:szCs w:val="26"/>
              </w:rPr>
              <w:br/>
            </w:r>
            <w:r w:rsidR="00CD0215" w:rsidRPr="002532BD">
              <w:rPr>
                <w:b/>
                <w:sz w:val="26"/>
                <w:szCs w:val="26"/>
              </w:rPr>
              <w:t>TỈNH QUẢNG NAM</w:t>
            </w:r>
            <w:r w:rsidR="00CD0215" w:rsidRPr="002532BD">
              <w:rPr>
                <w:b/>
              </w:rPr>
              <w:br/>
            </w:r>
            <w:r w:rsidR="00CD0215" w:rsidRPr="002532BD">
              <w:rPr>
                <w:noProof/>
              </w:rPr>
              <mc:AlternateContent>
                <mc:Choice Requires="wps">
                  <w:drawing>
                    <wp:anchor distT="0" distB="0" distL="114300" distR="114300" simplePos="0" relativeHeight="251658240" behindDoc="0" locked="0" layoutInCell="1" hidden="0" allowOverlap="1" wp14:anchorId="2C1EA49A" wp14:editId="2E9D653D">
                      <wp:simplePos x="0" y="0"/>
                      <wp:positionH relativeFrom="column">
                        <wp:posOffset>685800</wp:posOffset>
                      </wp:positionH>
                      <wp:positionV relativeFrom="paragraph">
                        <wp:posOffset>469900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65013" y="3780000"/>
                                <a:ext cx="56197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8017748" id="_x0000_t32" coordsize="21600,21600" o:spt="32" o:oned="t" path="m,l21600,21600e" filled="f">
                      <v:path arrowok="t" fillok="f" o:connecttype="none"/>
                      <o:lock v:ext="edit" shapetype="t"/>
                    </v:shapetype>
                    <v:shape id="Straight Arrow Connector 2" o:spid="_x0000_s1026" type="#_x0000_t32" style="position:absolute;margin-left:54pt;margin-top:37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" filled="t">
                      <v:stroke joinstyle="miter"/>
                    </v:shape>
                  </w:pict>
                </mc:Fallback>
              </mc:AlternateContent>
            </w:r>
          </w:p>
        </w:tc>
        <w:tc>
          <w:tcPr>
            <w:tcW w:w="6116" w:type="dxa"/>
            <w:tcBorders>
              <w:top w:val="nil"/>
              <w:left w:val="nil"/>
              <w:bottom w:val="nil"/>
              <w:right w:val="nil"/>
            </w:tcBorders>
            <w:tcMar>
              <w:top w:w="0" w:type="dxa"/>
              <w:left w:w="108" w:type="dxa"/>
              <w:bottom w:w="0" w:type="dxa"/>
              <w:right w:w="108" w:type="dxa"/>
            </w:tcMar>
          </w:tcPr>
          <w:p w14:paraId="54D8EE90" w14:textId="623E8441" w:rsidR="00135176" w:rsidRPr="002532BD" w:rsidRDefault="00E056A5" w:rsidP="00D44F28">
            <w:pPr>
              <w:spacing w:after="0" w:line="240" w:lineRule="auto"/>
              <w:ind w:left="1" w:hanging="3"/>
              <w:jc w:val="center"/>
            </w:pPr>
            <w:r>
              <w:rPr>
                <w:b/>
                <w:noProof/>
                <w:sz w:val="26"/>
                <w:szCs w:val="26"/>
              </w:rPr>
              <mc:AlternateContent>
                <mc:Choice Requires="wps">
                  <w:drawing>
                    <wp:anchor distT="0" distB="0" distL="114300" distR="114300" simplePos="0" relativeHeight="251662336" behindDoc="0" locked="0" layoutInCell="1" allowOverlap="1" wp14:anchorId="13649E1D" wp14:editId="1F67C3E5">
                      <wp:simplePos x="0" y="0"/>
                      <wp:positionH relativeFrom="column">
                        <wp:posOffset>802005</wp:posOffset>
                      </wp:positionH>
                      <wp:positionV relativeFrom="paragraph">
                        <wp:posOffset>432435</wp:posOffset>
                      </wp:positionV>
                      <wp:extent cx="2133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B45B2F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15pt,34.05pt" to="231.1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" strokecolor="black [3213]"/>
                  </w:pict>
                </mc:Fallback>
              </mc:AlternateContent>
            </w:r>
            <w:r w:rsidR="00CD0215" w:rsidRPr="002532BD">
              <w:rPr>
                <w:b/>
                <w:sz w:val="26"/>
                <w:szCs w:val="26"/>
              </w:rPr>
              <w:t>CỘNG HÒA XÃ HỘI CHỦ NGHĨA VIỆT NAM</w:t>
            </w:r>
            <w:r w:rsidR="00CD0215" w:rsidRPr="002532BD">
              <w:rPr>
                <w:b/>
              </w:rPr>
              <w:br/>
            </w:r>
            <w:r w:rsidR="00CD0215" w:rsidRPr="002532BD">
              <w:rPr>
                <w:b/>
                <w:sz w:val="28"/>
                <w:szCs w:val="28"/>
              </w:rPr>
              <w:t>Độc lập - Tự do - Hạnh phúc</w:t>
            </w:r>
            <w:r w:rsidR="00CD0215" w:rsidRPr="002532BD">
              <w:rPr>
                <w:noProof/>
              </w:rPr>
              <mc:AlternateContent>
                <mc:Choice Requires="wps">
                  <w:drawing>
                    <wp:anchor distT="0" distB="0" distL="114300" distR="114300" simplePos="0" relativeHeight="251659264" behindDoc="0" locked="0" layoutInCell="1" hidden="0" allowOverlap="1" wp14:anchorId="67419EF6" wp14:editId="5B7C4059">
                      <wp:simplePos x="0" y="0"/>
                      <wp:positionH relativeFrom="column">
                        <wp:posOffset>800100</wp:posOffset>
                      </wp:positionH>
                      <wp:positionV relativeFrom="paragraph">
                        <wp:posOffset>482600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50625" y="3780000"/>
                                <a:ext cx="21907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5828BBC" id="Straight Arrow Connector 1" o:spid="_x0000_s1026" type="#_x0000_t32" style="position:absolute;margin-left:63pt;margin-top:3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" filled="t">
                      <v:stroke joinstyle="miter"/>
                    </v:shape>
                  </w:pict>
                </mc:Fallback>
              </mc:AlternateContent>
            </w:r>
          </w:p>
        </w:tc>
      </w:tr>
      <w:tr w:rsidR="002532BD" w:rsidRPr="002532BD" w14:paraId="1E07676B" w14:textId="77777777">
        <w:tc>
          <w:tcPr>
            <w:tcW w:w="3348" w:type="dxa"/>
            <w:tcBorders>
              <w:top w:val="nil"/>
              <w:left w:val="nil"/>
              <w:bottom w:val="nil"/>
              <w:right w:val="nil"/>
            </w:tcBorders>
            <w:tcMar>
              <w:top w:w="0" w:type="dxa"/>
              <w:left w:w="108" w:type="dxa"/>
              <w:bottom w:w="0" w:type="dxa"/>
              <w:right w:w="108" w:type="dxa"/>
            </w:tcMar>
          </w:tcPr>
          <w:p w14:paraId="6CDA3EDB" w14:textId="7C48ACC3" w:rsidR="00135176" w:rsidRPr="002532BD" w:rsidRDefault="00CD0215" w:rsidP="00D44F28">
            <w:pPr>
              <w:spacing w:after="0" w:line="240" w:lineRule="auto"/>
              <w:ind w:left="1" w:hanging="3"/>
              <w:jc w:val="center"/>
              <w:rPr>
                <w:sz w:val="28"/>
                <w:szCs w:val="28"/>
              </w:rPr>
            </w:pPr>
            <w:r w:rsidRPr="002532BD">
              <w:rPr>
                <w:sz w:val="28"/>
                <w:szCs w:val="28"/>
              </w:rPr>
              <w:t xml:space="preserve">Số: </w:t>
            </w:r>
            <w:r w:rsidR="0029639B" w:rsidRPr="002532BD">
              <w:rPr>
                <w:sz w:val="28"/>
                <w:szCs w:val="28"/>
                <w:lang w:val="en-US"/>
              </w:rPr>
              <w:t xml:space="preserve">     </w:t>
            </w:r>
            <w:r w:rsidRPr="002532BD">
              <w:rPr>
                <w:sz w:val="28"/>
                <w:szCs w:val="28"/>
              </w:rPr>
              <w:t>/202</w:t>
            </w:r>
            <w:r w:rsidR="00010B61">
              <w:rPr>
                <w:sz w:val="28"/>
                <w:szCs w:val="28"/>
                <w:lang w:val="en-US"/>
              </w:rPr>
              <w:t>4</w:t>
            </w:r>
            <w:r w:rsidRPr="002532BD">
              <w:rPr>
                <w:sz w:val="28"/>
                <w:szCs w:val="28"/>
              </w:rPr>
              <w:t>/NQ-HĐND</w:t>
            </w:r>
          </w:p>
        </w:tc>
        <w:tc>
          <w:tcPr>
            <w:tcW w:w="6116" w:type="dxa"/>
            <w:tcBorders>
              <w:top w:val="nil"/>
              <w:left w:val="nil"/>
              <w:bottom w:val="nil"/>
              <w:right w:val="nil"/>
            </w:tcBorders>
            <w:tcMar>
              <w:top w:w="0" w:type="dxa"/>
              <w:left w:w="108" w:type="dxa"/>
              <w:bottom w:w="0" w:type="dxa"/>
              <w:right w:w="108" w:type="dxa"/>
            </w:tcMar>
          </w:tcPr>
          <w:p w14:paraId="0BAA4435" w14:textId="3A21330D" w:rsidR="00135176" w:rsidRPr="00DD40F0" w:rsidRDefault="00CD0215" w:rsidP="00D44F28">
            <w:pPr>
              <w:spacing w:after="0" w:line="240" w:lineRule="auto"/>
              <w:ind w:left="1" w:hanging="3"/>
              <w:jc w:val="center"/>
              <w:rPr>
                <w:sz w:val="28"/>
                <w:szCs w:val="28"/>
                <w:lang w:val="en-US"/>
              </w:rPr>
            </w:pPr>
            <w:r w:rsidRPr="002532BD">
              <w:rPr>
                <w:i/>
                <w:sz w:val="28"/>
                <w:szCs w:val="28"/>
              </w:rPr>
              <w:t xml:space="preserve">Quảng Nam, ngày </w:t>
            </w:r>
            <w:r w:rsidR="0029639B" w:rsidRPr="002532BD">
              <w:rPr>
                <w:i/>
                <w:sz w:val="28"/>
                <w:szCs w:val="28"/>
                <w:lang w:val="en-US"/>
              </w:rPr>
              <w:t xml:space="preserve">  </w:t>
            </w:r>
            <w:r w:rsidRPr="002532BD">
              <w:rPr>
                <w:i/>
                <w:sz w:val="28"/>
                <w:szCs w:val="28"/>
              </w:rPr>
              <w:t xml:space="preserve"> tháng</w:t>
            </w:r>
            <w:r w:rsidR="0029639B" w:rsidRPr="002532BD">
              <w:rPr>
                <w:i/>
                <w:sz w:val="28"/>
                <w:szCs w:val="28"/>
                <w:lang w:val="en-US"/>
              </w:rPr>
              <w:t xml:space="preserve">  </w:t>
            </w:r>
            <w:r w:rsidRPr="002532BD">
              <w:rPr>
                <w:i/>
                <w:sz w:val="28"/>
                <w:szCs w:val="28"/>
              </w:rPr>
              <w:t xml:space="preserve">  năm 202</w:t>
            </w:r>
            <w:r w:rsidR="006E0BFA">
              <w:rPr>
                <w:i/>
                <w:sz w:val="28"/>
                <w:szCs w:val="28"/>
                <w:lang w:val="en-US"/>
              </w:rPr>
              <w:t>4</w:t>
            </w:r>
          </w:p>
        </w:tc>
      </w:tr>
    </w:tbl>
    <w:p w14:paraId="1D173643" w14:textId="77777777" w:rsidR="00135176" w:rsidRPr="002532BD" w:rsidRDefault="00DC285F" w:rsidP="00D44F28">
      <w:pPr>
        <w:spacing w:after="0" w:line="240" w:lineRule="auto"/>
        <w:ind w:hanging="2"/>
      </w:pPr>
      <w:r w:rsidRPr="002532BD">
        <w:rPr>
          <w:noProof/>
        </w:rPr>
        <mc:AlternateContent>
          <mc:Choice Requires="wps">
            <w:drawing>
              <wp:anchor distT="0" distB="0" distL="114300" distR="114300" simplePos="0" relativeHeight="251660288" behindDoc="0" locked="0" layoutInCell="1" allowOverlap="1" wp14:anchorId="48BD6F46" wp14:editId="77A7661B">
                <wp:simplePos x="0" y="0"/>
                <wp:positionH relativeFrom="column">
                  <wp:posOffset>443865</wp:posOffset>
                </wp:positionH>
                <wp:positionV relativeFrom="paragraph">
                  <wp:posOffset>124460</wp:posOffset>
                </wp:positionV>
                <wp:extent cx="122872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228725" cy="342900"/>
                        </a:xfrm>
                        <a:prstGeom prst="rect">
                          <a:avLst/>
                        </a:prstGeom>
                        <a:solidFill>
                          <a:schemeClr val="lt1"/>
                        </a:solidFill>
                        <a:ln w="6350">
                          <a:solidFill>
                            <a:prstClr val="black"/>
                          </a:solidFill>
                        </a:ln>
                      </wps:spPr>
                      <wps:txbx>
                        <w:txbxContent>
                          <w:p w14:paraId="1E330A07" w14:textId="77777777" w:rsidR="00DC285F" w:rsidRPr="00DC285F" w:rsidRDefault="00DC285F" w:rsidP="00DC285F">
                            <w:pPr>
                              <w:ind w:left="1" w:hanging="3"/>
                              <w:jc w:val="center"/>
                              <w:rPr>
                                <w:b/>
                                <w:bCs/>
                                <w:sz w:val="28"/>
                                <w:szCs w:val="28"/>
                                <w:lang w:val="en-US"/>
                              </w:rPr>
                            </w:pPr>
                            <w:r w:rsidRPr="00DC285F">
                              <w:rPr>
                                <w:b/>
                                <w:bCs/>
                                <w:sz w:val="28"/>
                                <w:szCs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BD6F46" id="_x0000_t202" coordsize="21600,21600" o:spt="202" path="m,l,21600r21600,l21600,xe">
                <v:stroke joinstyle="miter"/>
                <v:path gradientshapeok="t" o:connecttype="rect"/>
              </v:shapetype>
              <v:shape id="Text Box 3" o:spid="_x0000_s1026" type="#_x0000_t202" style="position:absolute;left:0;text-align:left;margin-left:34.95pt;margin-top:9.8pt;width:96.7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" fillcolor="white [3201]" strokeweight=".5pt">
                <v:textbox>
                  <w:txbxContent>
                    <w:p w14:paraId="1E330A07" w14:textId="77777777" w:rsidR="00DC285F" w:rsidRPr="00DC285F" w:rsidRDefault="00DC285F" w:rsidP="00DC285F">
                      <w:pPr>
                        <w:ind w:left="1" w:hanging="3"/>
                        <w:jc w:val="center"/>
                        <w:rPr>
                          <w:b/>
                          <w:bCs/>
                          <w:sz w:val="28"/>
                          <w:szCs w:val="28"/>
                          <w:lang w:val="en-US"/>
                        </w:rPr>
                      </w:pPr>
                      <w:r w:rsidRPr="00DC285F">
                        <w:rPr>
                          <w:b/>
                          <w:bCs/>
                          <w:sz w:val="28"/>
                          <w:szCs w:val="28"/>
                          <w:lang w:val="en-US"/>
                        </w:rPr>
                        <w:t>Dự thảo</w:t>
                      </w:r>
                    </w:p>
                  </w:txbxContent>
                </v:textbox>
              </v:shape>
            </w:pict>
          </mc:Fallback>
        </mc:AlternateContent>
      </w:r>
      <w:r w:rsidR="00CD0215" w:rsidRPr="002532BD">
        <w:t> </w:t>
      </w:r>
      <w:bookmarkStart w:id="0" w:name="bookmark=id.gjdgxs" w:colFirst="0" w:colLast="0"/>
      <w:bookmarkEnd w:id="0"/>
    </w:p>
    <w:p w14:paraId="4CE56EFB" w14:textId="77777777" w:rsidR="0043236F" w:rsidRPr="002532BD" w:rsidRDefault="0043236F" w:rsidP="00D44F28">
      <w:pPr>
        <w:spacing w:after="0" w:line="240" w:lineRule="auto"/>
        <w:ind w:leftChars="-1" w:left="1" w:hangingChars="1" w:hanging="3"/>
        <w:jc w:val="center"/>
        <w:rPr>
          <w:b/>
          <w:sz w:val="28"/>
          <w:szCs w:val="28"/>
        </w:rPr>
      </w:pPr>
    </w:p>
    <w:p w14:paraId="50D334EB" w14:textId="77777777" w:rsidR="0043236F" w:rsidRPr="0019499E" w:rsidRDefault="0043236F" w:rsidP="00D44F28">
      <w:pPr>
        <w:spacing w:after="0" w:line="240" w:lineRule="auto"/>
        <w:ind w:leftChars="-1" w:left="1" w:hangingChars="1" w:hanging="3"/>
        <w:jc w:val="center"/>
        <w:rPr>
          <w:b/>
          <w:sz w:val="28"/>
          <w:szCs w:val="28"/>
        </w:rPr>
      </w:pPr>
    </w:p>
    <w:p w14:paraId="1E895945" w14:textId="78EE7146" w:rsidR="00135176" w:rsidRPr="0019499E" w:rsidRDefault="00CD0215" w:rsidP="00D44F28">
      <w:pPr>
        <w:spacing w:after="0" w:line="240" w:lineRule="auto"/>
        <w:ind w:leftChars="-1" w:left="1" w:hangingChars="1" w:hanging="3"/>
        <w:jc w:val="center"/>
        <w:rPr>
          <w:sz w:val="28"/>
          <w:szCs w:val="28"/>
        </w:rPr>
      </w:pPr>
      <w:r w:rsidRPr="0019499E">
        <w:rPr>
          <w:b/>
          <w:sz w:val="28"/>
          <w:szCs w:val="28"/>
        </w:rPr>
        <w:t>NGHỊ QUYẾT</w:t>
      </w:r>
      <w:bookmarkStart w:id="1" w:name="bookmark=id.30j0zll" w:colFirst="0" w:colLast="0"/>
      <w:bookmarkEnd w:id="1"/>
    </w:p>
    <w:p w14:paraId="290BE0B1" w14:textId="0FF357D3" w:rsidR="00135176" w:rsidRPr="00800189" w:rsidRDefault="00D10D1C" w:rsidP="00D44F28">
      <w:pPr>
        <w:spacing w:after="0" w:line="240" w:lineRule="auto"/>
        <w:ind w:leftChars="-60" w:left="-141" w:hangingChars="1" w:hanging="3"/>
        <w:jc w:val="center"/>
        <w:rPr>
          <w:b/>
          <w:bCs/>
          <w:spacing w:val="-6"/>
          <w:sz w:val="28"/>
          <w:szCs w:val="28"/>
        </w:rPr>
      </w:pPr>
      <w:r w:rsidRPr="0019499E">
        <w:rPr>
          <w:b/>
          <w:bCs/>
          <w:spacing w:val="-6"/>
          <w:sz w:val="28"/>
          <w:szCs w:val="28"/>
        </w:rPr>
        <w:t xml:space="preserve">Quy định chính sách </w:t>
      </w:r>
      <w:r w:rsidR="006A1D4C" w:rsidRPr="0019499E">
        <w:rPr>
          <w:b/>
          <w:bCs/>
          <w:spacing w:val="-6"/>
          <w:sz w:val="28"/>
          <w:szCs w:val="28"/>
        </w:rPr>
        <w:t xml:space="preserve">đối với viên chức giáo viên </w:t>
      </w:r>
      <w:r w:rsidR="002005BA" w:rsidRPr="00800189">
        <w:rPr>
          <w:b/>
          <w:bCs/>
          <w:spacing w:val="-6"/>
          <w:sz w:val="28"/>
          <w:szCs w:val="28"/>
        </w:rPr>
        <w:t>công tác</w:t>
      </w:r>
      <w:r w:rsidR="006A1D4C" w:rsidRPr="0019499E">
        <w:rPr>
          <w:b/>
          <w:bCs/>
          <w:spacing w:val="-6"/>
          <w:sz w:val="28"/>
          <w:szCs w:val="28"/>
        </w:rPr>
        <w:t xml:space="preserve"> ở </w:t>
      </w:r>
      <w:r w:rsidR="00CA52E4" w:rsidRPr="00800189">
        <w:rPr>
          <w:b/>
          <w:bCs/>
          <w:color w:val="0000FF"/>
          <w:spacing w:val="-6"/>
          <w:sz w:val="28"/>
          <w:szCs w:val="28"/>
        </w:rPr>
        <w:t>các huyện miền núi cao tỉnh Quảng Nam</w:t>
      </w:r>
      <w:r w:rsidR="00550016" w:rsidRPr="0019499E">
        <w:rPr>
          <w:b/>
          <w:bCs/>
          <w:spacing w:val="-6"/>
          <w:sz w:val="28"/>
          <w:szCs w:val="28"/>
        </w:rPr>
        <w:t xml:space="preserve"> giai đoạn 202</w:t>
      </w:r>
      <w:r w:rsidR="00E50A77">
        <w:rPr>
          <w:b/>
          <w:bCs/>
          <w:spacing w:val="-6"/>
          <w:sz w:val="28"/>
          <w:szCs w:val="28"/>
          <w:lang w:val="en-US"/>
        </w:rPr>
        <w:t>5</w:t>
      </w:r>
      <w:r w:rsidR="007A3F06" w:rsidRPr="0019499E">
        <w:rPr>
          <w:b/>
          <w:bCs/>
          <w:spacing w:val="-6"/>
          <w:sz w:val="28"/>
          <w:szCs w:val="28"/>
        </w:rPr>
        <w:t xml:space="preserve"> </w:t>
      </w:r>
      <w:r w:rsidR="00550016" w:rsidRPr="0019499E">
        <w:rPr>
          <w:b/>
          <w:bCs/>
          <w:spacing w:val="-6"/>
          <w:sz w:val="28"/>
          <w:szCs w:val="28"/>
        </w:rPr>
        <w:t>-202</w:t>
      </w:r>
      <w:r w:rsidR="00F160FF" w:rsidRPr="00800189">
        <w:rPr>
          <w:b/>
          <w:bCs/>
          <w:spacing w:val="-6"/>
          <w:sz w:val="28"/>
          <w:szCs w:val="28"/>
        </w:rPr>
        <w:t>6</w:t>
      </w:r>
    </w:p>
    <w:p w14:paraId="47B7A7CA" w14:textId="543F2758" w:rsidR="00135176" w:rsidRPr="0019499E" w:rsidRDefault="007A3F06" w:rsidP="007467C5">
      <w:pPr>
        <w:ind w:leftChars="-1" w:left="1" w:hangingChars="1" w:hanging="3"/>
        <w:rPr>
          <w:sz w:val="28"/>
          <w:szCs w:val="28"/>
        </w:rPr>
      </w:pPr>
      <w:r w:rsidRPr="0019499E">
        <w:rPr>
          <w:noProof/>
          <w:sz w:val="28"/>
          <w:szCs w:val="28"/>
        </w:rPr>
        <mc:AlternateContent>
          <mc:Choice Requires="wps">
            <w:drawing>
              <wp:anchor distT="0" distB="0" distL="114300" distR="114300" simplePos="0" relativeHeight="251661312" behindDoc="0" locked="0" layoutInCell="1" allowOverlap="1" wp14:anchorId="15D5467E" wp14:editId="30ACCD3D">
                <wp:simplePos x="0" y="0"/>
                <wp:positionH relativeFrom="column">
                  <wp:posOffset>2291715</wp:posOffset>
                </wp:positionH>
                <wp:positionV relativeFrom="paragraph">
                  <wp:posOffset>78740</wp:posOffset>
                </wp:positionV>
                <wp:extent cx="135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954E58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45pt,6.2pt" to="286.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" strokecolor="black [3213]"/>
            </w:pict>
          </mc:Fallback>
        </mc:AlternateContent>
      </w:r>
    </w:p>
    <w:p w14:paraId="301BA1EC" w14:textId="327ED8E7" w:rsidR="007467C5" w:rsidRPr="002532BD" w:rsidRDefault="007467C5" w:rsidP="007467C5">
      <w:pPr>
        <w:ind w:left="1" w:hanging="3"/>
        <w:jc w:val="center"/>
        <w:rPr>
          <w:b/>
          <w:bCs/>
          <w:iCs/>
          <w:sz w:val="28"/>
          <w:szCs w:val="28"/>
        </w:rPr>
      </w:pPr>
      <w:r w:rsidRPr="002532BD">
        <w:rPr>
          <w:b/>
          <w:bCs/>
          <w:iCs/>
          <w:sz w:val="28"/>
          <w:szCs w:val="28"/>
        </w:rPr>
        <w:t>HỘI ĐỒNG NHÂN DÂN TỈNH QUẢNG NAM</w:t>
      </w:r>
      <w:r w:rsidR="00677508" w:rsidRPr="002532BD">
        <w:rPr>
          <w:b/>
          <w:bCs/>
          <w:iCs/>
          <w:sz w:val="28"/>
          <w:szCs w:val="28"/>
        </w:rPr>
        <w:br/>
      </w:r>
      <w:r w:rsidRPr="002532BD">
        <w:rPr>
          <w:b/>
          <w:bCs/>
          <w:iCs/>
          <w:sz w:val="28"/>
          <w:szCs w:val="28"/>
        </w:rPr>
        <w:t>KHÓA X, KỲ HỌP THỨ …</w:t>
      </w:r>
    </w:p>
    <w:p w14:paraId="4753DBAD" w14:textId="77777777" w:rsidR="00677508" w:rsidRPr="002532BD" w:rsidRDefault="00677508" w:rsidP="003522E7">
      <w:pPr>
        <w:snapToGrid w:val="0"/>
        <w:ind w:left="3" w:hangingChars="1" w:hanging="3"/>
        <w:contextualSpacing/>
        <w:rPr>
          <w:b/>
          <w:bCs/>
          <w:iCs/>
          <w:sz w:val="28"/>
          <w:szCs w:val="28"/>
        </w:rPr>
      </w:pPr>
    </w:p>
    <w:p w14:paraId="6BACC0C7" w14:textId="323ED91B" w:rsidR="00135176" w:rsidRPr="002532BD" w:rsidRDefault="00CD0215" w:rsidP="00EF5297">
      <w:pPr>
        <w:snapToGrid w:val="0"/>
        <w:ind w:firstLineChars="202" w:firstLine="566"/>
        <w:contextualSpacing/>
        <w:rPr>
          <w:sz w:val="28"/>
          <w:szCs w:val="28"/>
        </w:rPr>
      </w:pPr>
      <w:r w:rsidRPr="002532BD">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D6C8EAC" w14:textId="77777777" w:rsidR="00135176" w:rsidRPr="002532BD" w:rsidRDefault="00CD0215" w:rsidP="00EF5297">
      <w:pPr>
        <w:snapToGrid w:val="0"/>
        <w:ind w:firstLineChars="202" w:firstLine="566"/>
        <w:contextualSpacing/>
        <w:rPr>
          <w:sz w:val="28"/>
          <w:szCs w:val="28"/>
        </w:rPr>
      </w:pPr>
      <w:r w:rsidRPr="002532BD">
        <w:rPr>
          <w:i/>
          <w:sz w:val="28"/>
          <w:szCs w:val="28"/>
        </w:rPr>
        <w:t>Căn cứ Luật Ban hành văn bản quy phạm pháp luật ngày 22 tháng 6 năm 2015</w:t>
      </w:r>
      <w:r w:rsidRPr="002532BD">
        <w:rPr>
          <w:sz w:val="28"/>
          <w:szCs w:val="28"/>
        </w:rPr>
        <w:t xml:space="preserve">; </w:t>
      </w:r>
      <w:r w:rsidRPr="002532BD">
        <w:rPr>
          <w:i/>
          <w:sz w:val="28"/>
          <w:szCs w:val="28"/>
        </w:rPr>
        <w:t>Luật sửa đổi, bổ sung một số điều của Luật Ban hành văn bản quy phạm pháp luật ngày 18 tháng 6 năm 2020</w:t>
      </w:r>
      <w:r w:rsidRPr="002532BD">
        <w:rPr>
          <w:sz w:val="28"/>
          <w:szCs w:val="28"/>
        </w:rPr>
        <w:t>;</w:t>
      </w:r>
    </w:p>
    <w:p w14:paraId="28AA4A68" w14:textId="65450471" w:rsidR="00135176" w:rsidRDefault="00CD0215" w:rsidP="00EF5297">
      <w:pPr>
        <w:snapToGrid w:val="0"/>
        <w:ind w:firstLineChars="202" w:firstLine="566"/>
        <w:contextualSpacing/>
        <w:rPr>
          <w:i/>
          <w:sz w:val="28"/>
          <w:szCs w:val="28"/>
        </w:rPr>
      </w:pPr>
      <w:r w:rsidRPr="002532BD">
        <w:rPr>
          <w:i/>
          <w:sz w:val="28"/>
          <w:szCs w:val="28"/>
        </w:rPr>
        <w:t>Căn cứ Luật Viên chức ngày 15 tháng 11 năm 2010; Luật sửa đổi, bổ sung một số điều của Luật Cán bộ, công chức và Luật Viên chức ngày 25 tháng 11 năm 2019;</w:t>
      </w:r>
    </w:p>
    <w:p w14:paraId="23C83E17" w14:textId="63212092" w:rsidR="00800189" w:rsidRPr="00B176E9" w:rsidRDefault="00800189" w:rsidP="00EF5297">
      <w:pPr>
        <w:snapToGrid w:val="0"/>
        <w:ind w:firstLineChars="202" w:firstLine="566"/>
        <w:contextualSpacing/>
        <w:rPr>
          <w:color w:val="0000FF"/>
          <w:sz w:val="28"/>
          <w:szCs w:val="28"/>
        </w:rPr>
      </w:pPr>
      <w:r w:rsidRPr="00B176E9">
        <w:rPr>
          <w:i/>
          <w:color w:val="0000FF"/>
          <w:sz w:val="28"/>
          <w:szCs w:val="28"/>
        </w:rPr>
        <w:t>Căn cứ Luật Giáo dục ngày 14 tháng 6 năm 2019;</w:t>
      </w:r>
    </w:p>
    <w:p w14:paraId="27F53D2B" w14:textId="77777777" w:rsidR="00135176" w:rsidRDefault="00CD0215" w:rsidP="00EF5297">
      <w:pPr>
        <w:snapToGrid w:val="0"/>
        <w:ind w:firstLineChars="202" w:firstLine="566"/>
        <w:contextualSpacing/>
        <w:rPr>
          <w:sz w:val="28"/>
          <w:szCs w:val="28"/>
        </w:rPr>
      </w:pPr>
      <w:r w:rsidRPr="002532BD">
        <w:rPr>
          <w:i/>
          <w:sz w:val="28"/>
          <w:szCs w:val="28"/>
        </w:rPr>
        <w:t>Căn cứ Luật Ngân sách Nhà nước ngày 25 tháng 6 năm 2015</w:t>
      </w:r>
      <w:r w:rsidRPr="002532BD">
        <w:rPr>
          <w:sz w:val="28"/>
          <w:szCs w:val="28"/>
        </w:rPr>
        <w:t>;</w:t>
      </w:r>
    </w:p>
    <w:p w14:paraId="657CD94B" w14:textId="71FDD048" w:rsidR="0006065C" w:rsidRPr="00AA5F80" w:rsidRDefault="0006065C" w:rsidP="00EF5297">
      <w:pPr>
        <w:snapToGrid w:val="0"/>
        <w:ind w:firstLineChars="202" w:firstLine="566"/>
        <w:contextualSpacing/>
        <w:rPr>
          <w:i/>
          <w:iCs/>
          <w:color w:val="0000FF"/>
          <w:sz w:val="28"/>
          <w:szCs w:val="28"/>
          <w:lang w:val="en-US"/>
        </w:rPr>
      </w:pPr>
      <w:r w:rsidRPr="00AA5F80">
        <w:rPr>
          <w:i/>
          <w:iCs/>
          <w:color w:val="0000FF"/>
          <w:sz w:val="28"/>
          <w:szCs w:val="28"/>
        </w:rPr>
        <w:t>Nghị định số 163/2016/NĐ-CP ngày 21 tháng 12 năm 2016 của Chính phủ quy định chi tiết thi hành một số điều của Luật Ngân sách nhà nước</w:t>
      </w:r>
      <w:r w:rsidRPr="00AA5F80">
        <w:rPr>
          <w:i/>
          <w:iCs/>
          <w:color w:val="0000FF"/>
          <w:sz w:val="28"/>
          <w:szCs w:val="28"/>
          <w:lang w:val="en-US"/>
        </w:rPr>
        <w:t>;</w:t>
      </w:r>
    </w:p>
    <w:p w14:paraId="6EAC9C67" w14:textId="185AC4B5" w:rsidR="00E168AD" w:rsidRPr="00EB6162" w:rsidRDefault="00E168AD" w:rsidP="00EF5297">
      <w:pPr>
        <w:snapToGrid w:val="0"/>
        <w:ind w:firstLineChars="202" w:firstLine="566"/>
        <w:contextualSpacing/>
        <w:rPr>
          <w:i/>
          <w:iCs/>
          <w:color w:val="0000FF"/>
          <w:sz w:val="28"/>
          <w:szCs w:val="28"/>
          <w:lang w:val="en-US"/>
        </w:rPr>
      </w:pPr>
      <w:r w:rsidRPr="00EB6162">
        <w:rPr>
          <w:i/>
          <w:iCs/>
          <w:color w:val="0000FF"/>
          <w:sz w:val="28"/>
          <w:szCs w:val="28"/>
        </w:rPr>
        <w:t>Xét Tờ trình số …../TTr-UBND ngày …. tháng ….. năm 202</w:t>
      </w:r>
      <w:r w:rsidR="00043191" w:rsidRPr="00EB6162">
        <w:rPr>
          <w:i/>
          <w:iCs/>
          <w:color w:val="0000FF"/>
          <w:sz w:val="28"/>
          <w:szCs w:val="28"/>
          <w:lang w:val="en-US"/>
        </w:rPr>
        <w:t>4</w:t>
      </w:r>
      <w:r w:rsidRPr="00EB6162">
        <w:rPr>
          <w:i/>
          <w:iCs/>
          <w:color w:val="0000FF"/>
          <w:sz w:val="28"/>
          <w:szCs w:val="28"/>
        </w:rPr>
        <w:t xml:space="preserve"> của Ủy ban nhân dân tỉnh về đề nghị Hội đồng nhân dân tỉnh ban hành Nghị quyết quy định chính sách đối với viên chức công tác ở các huyện miền núi cao tỉnh Quảng Nam giai đoạn 202</w:t>
      </w:r>
      <w:r w:rsidR="00E34734">
        <w:rPr>
          <w:i/>
          <w:iCs/>
          <w:color w:val="0000FF"/>
          <w:sz w:val="28"/>
          <w:szCs w:val="28"/>
          <w:lang w:val="en-US"/>
        </w:rPr>
        <w:t>5</w:t>
      </w:r>
      <w:r w:rsidRPr="00EB6162">
        <w:rPr>
          <w:i/>
          <w:iCs/>
          <w:color w:val="0000FF"/>
          <w:sz w:val="28"/>
          <w:szCs w:val="28"/>
        </w:rPr>
        <w:t>-2026; Báo cáo thẩm tra số …../BC-HĐND ngày ….. tháng …… năm 2023 của Ban Pháp chế Hội đồng nhân dân tỉnh; ý kiến thảo luận của đại biểu Hội đồng nhân dân tỉnh tại kỳ họp</w:t>
      </w:r>
      <w:r w:rsidRPr="00EB6162">
        <w:rPr>
          <w:i/>
          <w:iCs/>
          <w:color w:val="0000FF"/>
          <w:sz w:val="28"/>
          <w:szCs w:val="28"/>
          <w:lang w:val="en-US"/>
        </w:rPr>
        <w:t>.</w:t>
      </w:r>
    </w:p>
    <w:p w14:paraId="117D0ED0" w14:textId="77777777" w:rsidR="00431D89" w:rsidRPr="002532BD" w:rsidRDefault="00431D89" w:rsidP="00621D07">
      <w:pPr>
        <w:snapToGrid w:val="0"/>
        <w:spacing w:line="340" w:lineRule="exact"/>
        <w:ind w:firstLineChars="202" w:firstLine="568"/>
        <w:contextualSpacing/>
        <w:jc w:val="center"/>
        <w:rPr>
          <w:b/>
          <w:sz w:val="28"/>
          <w:szCs w:val="28"/>
        </w:rPr>
      </w:pPr>
    </w:p>
    <w:p w14:paraId="4D4D3EC5" w14:textId="63F38D35" w:rsidR="00135176" w:rsidRPr="002532BD" w:rsidRDefault="00CD0215" w:rsidP="00621D07">
      <w:pPr>
        <w:snapToGrid w:val="0"/>
        <w:spacing w:line="340" w:lineRule="exact"/>
        <w:ind w:firstLineChars="202" w:firstLine="568"/>
        <w:contextualSpacing/>
        <w:jc w:val="center"/>
        <w:rPr>
          <w:b/>
          <w:sz w:val="28"/>
          <w:szCs w:val="28"/>
        </w:rPr>
      </w:pPr>
      <w:r w:rsidRPr="002532BD">
        <w:rPr>
          <w:b/>
          <w:sz w:val="28"/>
          <w:szCs w:val="28"/>
        </w:rPr>
        <w:t>QUYẾT NGHỊ:</w:t>
      </w:r>
    </w:p>
    <w:p w14:paraId="2A88FA35" w14:textId="77777777" w:rsidR="00431D89" w:rsidRPr="002532BD" w:rsidRDefault="00431D89" w:rsidP="00621D07">
      <w:pPr>
        <w:snapToGrid w:val="0"/>
        <w:spacing w:line="340" w:lineRule="exact"/>
        <w:ind w:firstLineChars="202" w:firstLine="566"/>
        <w:contextualSpacing/>
        <w:jc w:val="center"/>
        <w:rPr>
          <w:sz w:val="28"/>
          <w:szCs w:val="28"/>
        </w:rPr>
      </w:pPr>
    </w:p>
    <w:p w14:paraId="276DEFE6" w14:textId="77777777" w:rsidR="00135176" w:rsidRPr="002532BD" w:rsidRDefault="00CD0215" w:rsidP="002767AE">
      <w:pPr>
        <w:snapToGrid w:val="0"/>
        <w:ind w:firstLineChars="202" w:firstLine="568"/>
        <w:contextualSpacing/>
        <w:rPr>
          <w:sz w:val="28"/>
          <w:szCs w:val="28"/>
        </w:rPr>
      </w:pPr>
      <w:r w:rsidRPr="002532BD">
        <w:rPr>
          <w:b/>
          <w:sz w:val="28"/>
          <w:szCs w:val="28"/>
        </w:rPr>
        <w:t>Điều 1. Phạm vi điều chỉnh</w:t>
      </w:r>
    </w:p>
    <w:p w14:paraId="3F990659" w14:textId="755D6069" w:rsidR="00135176" w:rsidRPr="002532BD" w:rsidRDefault="00CD0215" w:rsidP="002767AE">
      <w:pPr>
        <w:snapToGrid w:val="0"/>
        <w:ind w:firstLineChars="202" w:firstLine="566"/>
        <w:contextualSpacing/>
        <w:rPr>
          <w:sz w:val="28"/>
          <w:szCs w:val="28"/>
        </w:rPr>
      </w:pPr>
      <w:r w:rsidRPr="002532BD">
        <w:rPr>
          <w:sz w:val="28"/>
          <w:szCs w:val="28"/>
        </w:rPr>
        <w:t xml:space="preserve">1. Nghị quyết này quy định về chính sách đối với viên chức </w:t>
      </w:r>
      <w:r w:rsidR="00F0381F" w:rsidRPr="002532BD">
        <w:rPr>
          <w:sz w:val="28"/>
          <w:szCs w:val="28"/>
        </w:rPr>
        <w:t xml:space="preserve">giáo viên </w:t>
      </w:r>
      <w:r w:rsidR="006571C1" w:rsidRPr="00800189">
        <w:rPr>
          <w:sz w:val="28"/>
          <w:szCs w:val="28"/>
        </w:rPr>
        <w:t>công tác</w:t>
      </w:r>
      <w:r w:rsidR="00C449E9" w:rsidRPr="002532BD">
        <w:rPr>
          <w:sz w:val="28"/>
          <w:szCs w:val="28"/>
        </w:rPr>
        <w:t xml:space="preserve"> </w:t>
      </w:r>
      <w:r w:rsidRPr="002532BD">
        <w:rPr>
          <w:sz w:val="28"/>
          <w:szCs w:val="28"/>
        </w:rPr>
        <w:t xml:space="preserve">ở </w:t>
      </w:r>
      <w:r w:rsidR="007647E5" w:rsidRPr="000E78E9">
        <w:rPr>
          <w:color w:val="0000FF"/>
          <w:sz w:val="28"/>
          <w:szCs w:val="28"/>
        </w:rPr>
        <w:t>các huyện miền núi cao tỉnh Quảng Nam</w:t>
      </w:r>
      <w:r w:rsidRPr="002532BD">
        <w:rPr>
          <w:sz w:val="28"/>
          <w:szCs w:val="28"/>
        </w:rPr>
        <w:t xml:space="preserve">, gồm: </w:t>
      </w:r>
      <w:r w:rsidR="00017D47" w:rsidRPr="00800189">
        <w:rPr>
          <w:sz w:val="28"/>
          <w:szCs w:val="28"/>
        </w:rPr>
        <w:t xml:space="preserve">chính sách </w:t>
      </w:r>
      <w:r w:rsidR="007647E5" w:rsidRPr="00800189">
        <w:rPr>
          <w:sz w:val="28"/>
          <w:szCs w:val="28"/>
        </w:rPr>
        <w:t>hỗ trợ</w:t>
      </w:r>
      <w:r w:rsidR="00C13545" w:rsidRPr="00800189">
        <w:rPr>
          <w:sz w:val="28"/>
          <w:szCs w:val="28"/>
        </w:rPr>
        <w:t xml:space="preserve"> lần đầu</w:t>
      </w:r>
      <w:r w:rsidR="004E5212" w:rsidRPr="00800189">
        <w:rPr>
          <w:sz w:val="28"/>
          <w:szCs w:val="28"/>
        </w:rPr>
        <w:t xml:space="preserve"> khi nhận công tác</w:t>
      </w:r>
      <w:r w:rsidR="001A3F3C" w:rsidRPr="002532BD">
        <w:rPr>
          <w:sz w:val="28"/>
          <w:szCs w:val="28"/>
        </w:rPr>
        <w:t xml:space="preserve">; </w:t>
      </w:r>
      <w:r w:rsidR="00017D47" w:rsidRPr="00800189">
        <w:rPr>
          <w:sz w:val="28"/>
          <w:szCs w:val="28"/>
        </w:rPr>
        <w:t xml:space="preserve">chính sách </w:t>
      </w:r>
      <w:r w:rsidR="007647E5" w:rsidRPr="00800189">
        <w:rPr>
          <w:sz w:val="28"/>
          <w:szCs w:val="28"/>
        </w:rPr>
        <w:t>hỗ trợ sinh hoạt</w:t>
      </w:r>
      <w:r w:rsidR="00BC7271" w:rsidRPr="00800189">
        <w:rPr>
          <w:sz w:val="28"/>
          <w:szCs w:val="28"/>
        </w:rPr>
        <w:t xml:space="preserve"> hằng tháng</w:t>
      </w:r>
      <w:r w:rsidR="001A3F3C" w:rsidRPr="002532BD">
        <w:rPr>
          <w:sz w:val="28"/>
          <w:szCs w:val="28"/>
        </w:rPr>
        <w:t>.</w:t>
      </w:r>
    </w:p>
    <w:p w14:paraId="6C955C38" w14:textId="28783914" w:rsidR="00135176" w:rsidRPr="00800189" w:rsidRDefault="00CD0215" w:rsidP="002767AE">
      <w:pPr>
        <w:snapToGrid w:val="0"/>
        <w:ind w:firstLineChars="202" w:firstLine="566"/>
        <w:contextualSpacing/>
        <w:rPr>
          <w:sz w:val="28"/>
          <w:szCs w:val="28"/>
        </w:rPr>
      </w:pPr>
      <w:r w:rsidRPr="002532BD">
        <w:rPr>
          <w:sz w:val="28"/>
          <w:szCs w:val="28"/>
        </w:rPr>
        <w:t xml:space="preserve">2. </w:t>
      </w:r>
      <w:r w:rsidR="008644BF" w:rsidRPr="00800189">
        <w:rPr>
          <w:color w:val="0000FF"/>
          <w:sz w:val="28"/>
          <w:szCs w:val="28"/>
        </w:rPr>
        <w:t>C</w:t>
      </w:r>
      <w:r w:rsidR="008644BF" w:rsidRPr="000E78E9">
        <w:rPr>
          <w:color w:val="0000FF"/>
          <w:sz w:val="28"/>
          <w:szCs w:val="28"/>
        </w:rPr>
        <w:t xml:space="preserve">ác huyện miền núi cao tỉnh Quảng Nam </w:t>
      </w:r>
      <w:r w:rsidRPr="002532BD">
        <w:rPr>
          <w:sz w:val="28"/>
          <w:szCs w:val="28"/>
        </w:rPr>
        <w:t>quy định tại khoản 1 Điều này, bao gồm:</w:t>
      </w:r>
      <w:r w:rsidR="002E6DDD" w:rsidRPr="00800189">
        <w:rPr>
          <w:sz w:val="28"/>
          <w:szCs w:val="28"/>
        </w:rPr>
        <w:t xml:space="preserve"> </w:t>
      </w:r>
      <w:r w:rsidR="00882F53" w:rsidRPr="00800189">
        <w:rPr>
          <w:sz w:val="28"/>
          <w:szCs w:val="28"/>
        </w:rPr>
        <w:t>Bắc Trà My, Nam Trà My, Đông Giang, Nam Giang, Tây Giang, Phước Sơn.</w:t>
      </w:r>
    </w:p>
    <w:p w14:paraId="2460397A" w14:textId="77777777" w:rsidR="00AD6DE9" w:rsidRDefault="00CD0215" w:rsidP="002767AE">
      <w:pPr>
        <w:snapToGrid w:val="0"/>
        <w:ind w:firstLineChars="202" w:firstLine="568"/>
        <w:contextualSpacing/>
        <w:rPr>
          <w:b/>
          <w:sz w:val="28"/>
          <w:szCs w:val="28"/>
        </w:rPr>
      </w:pPr>
      <w:r w:rsidRPr="002532BD">
        <w:rPr>
          <w:b/>
          <w:sz w:val="28"/>
          <w:szCs w:val="28"/>
        </w:rPr>
        <w:lastRenderedPageBreak/>
        <w:t>Điều 2. Đối tượng áp dụng</w:t>
      </w:r>
    </w:p>
    <w:p w14:paraId="01549FB2" w14:textId="06AE39F1" w:rsidR="00F52C29" w:rsidRPr="002532BD" w:rsidRDefault="00F52C29" w:rsidP="002767AE">
      <w:pPr>
        <w:snapToGrid w:val="0"/>
        <w:ind w:firstLineChars="202" w:firstLine="566"/>
        <w:contextualSpacing/>
        <w:rPr>
          <w:sz w:val="28"/>
          <w:szCs w:val="28"/>
        </w:rPr>
      </w:pPr>
      <w:r w:rsidRPr="002532BD">
        <w:rPr>
          <w:sz w:val="28"/>
          <w:szCs w:val="28"/>
        </w:rPr>
        <w:t>Viên chức</w:t>
      </w:r>
      <w:r w:rsidR="00E9769C" w:rsidRPr="00800189">
        <w:rPr>
          <w:sz w:val="28"/>
          <w:szCs w:val="28"/>
        </w:rPr>
        <w:t xml:space="preserve"> </w:t>
      </w:r>
      <w:r w:rsidR="007249A1" w:rsidRPr="00800189">
        <w:rPr>
          <w:sz w:val="28"/>
          <w:szCs w:val="28"/>
        </w:rPr>
        <w:t xml:space="preserve">giữ chức danh nghề nghiệp giáo viên </w:t>
      </w:r>
      <w:r w:rsidRPr="002532BD">
        <w:rPr>
          <w:sz w:val="28"/>
          <w:szCs w:val="28"/>
        </w:rPr>
        <w:t>trong các đơn vị sự nghiệp giáo dục công lập</w:t>
      </w:r>
      <w:r w:rsidR="00A2378C" w:rsidRPr="00A2378C">
        <w:rPr>
          <w:sz w:val="28"/>
          <w:szCs w:val="28"/>
        </w:rPr>
        <w:t xml:space="preserve"> </w:t>
      </w:r>
      <w:r w:rsidR="00A2378C" w:rsidRPr="00153647">
        <w:rPr>
          <w:color w:val="0000FF"/>
          <w:sz w:val="28"/>
          <w:szCs w:val="28"/>
        </w:rPr>
        <w:t>thuộc tỉnh</w:t>
      </w:r>
      <w:r w:rsidR="00213496" w:rsidRPr="00153647">
        <w:rPr>
          <w:color w:val="0000FF"/>
          <w:sz w:val="28"/>
          <w:szCs w:val="28"/>
        </w:rPr>
        <w:t xml:space="preserve"> </w:t>
      </w:r>
      <w:r w:rsidR="00213496" w:rsidRPr="00800189">
        <w:rPr>
          <w:sz w:val="28"/>
          <w:szCs w:val="28"/>
        </w:rPr>
        <w:t xml:space="preserve">đóng chân tại </w:t>
      </w:r>
      <w:r w:rsidR="00213496" w:rsidRPr="000E78E9">
        <w:rPr>
          <w:color w:val="0000FF"/>
          <w:sz w:val="28"/>
          <w:szCs w:val="28"/>
        </w:rPr>
        <w:t>các huyện miền núi cao tỉnh Quảng Nam</w:t>
      </w:r>
      <w:r w:rsidRPr="002532BD">
        <w:rPr>
          <w:sz w:val="28"/>
          <w:szCs w:val="28"/>
        </w:rPr>
        <w:t xml:space="preserve"> </w:t>
      </w:r>
      <w:r w:rsidR="009E6D8E" w:rsidRPr="00C45E6D">
        <w:rPr>
          <w:sz w:val="28"/>
          <w:szCs w:val="28"/>
        </w:rPr>
        <w:t>(không phân biệt người địa phương với người nơi khác đến)</w:t>
      </w:r>
      <w:r w:rsidRPr="00C45E6D">
        <w:rPr>
          <w:sz w:val="28"/>
          <w:szCs w:val="28"/>
        </w:rPr>
        <w:t xml:space="preserve"> đã được xếp lương theo</w:t>
      </w:r>
      <w:r w:rsidRPr="002532BD">
        <w:rPr>
          <w:sz w:val="28"/>
          <w:szCs w:val="28"/>
        </w:rPr>
        <w:t xml:space="preserve"> bảng lương do cơ quan có thẩm quyền quy định</w:t>
      </w:r>
      <w:r w:rsidR="00867CD3" w:rsidRPr="002532BD">
        <w:rPr>
          <w:sz w:val="28"/>
          <w:szCs w:val="28"/>
        </w:rPr>
        <w:t>.</w:t>
      </w:r>
    </w:p>
    <w:p w14:paraId="21ADBED7" w14:textId="15164856" w:rsidR="002476EB" w:rsidRPr="002532BD" w:rsidRDefault="002476EB" w:rsidP="002767AE">
      <w:pPr>
        <w:snapToGrid w:val="0"/>
        <w:ind w:firstLineChars="202" w:firstLine="568"/>
        <w:contextualSpacing/>
        <w:rPr>
          <w:b/>
          <w:bCs/>
          <w:sz w:val="28"/>
          <w:szCs w:val="28"/>
        </w:rPr>
      </w:pPr>
      <w:r w:rsidRPr="002532BD">
        <w:rPr>
          <w:b/>
          <w:bCs/>
          <w:sz w:val="28"/>
          <w:szCs w:val="28"/>
        </w:rPr>
        <w:t>Điều 3. Nguyên tắc áp dụng</w:t>
      </w:r>
    </w:p>
    <w:p w14:paraId="75B8D5D3" w14:textId="2EF96937" w:rsidR="00386AE7" w:rsidRDefault="00386AE7" w:rsidP="002767AE">
      <w:pPr>
        <w:snapToGrid w:val="0"/>
        <w:ind w:firstLineChars="202" w:firstLine="566"/>
        <w:contextualSpacing/>
        <w:rPr>
          <w:sz w:val="28"/>
          <w:szCs w:val="28"/>
        </w:rPr>
      </w:pPr>
      <w:r w:rsidRPr="00800189">
        <w:rPr>
          <w:sz w:val="28"/>
          <w:szCs w:val="28"/>
        </w:rPr>
        <w:t xml:space="preserve">1. </w:t>
      </w:r>
      <w:r w:rsidRPr="00386AE7">
        <w:rPr>
          <w:sz w:val="28"/>
          <w:szCs w:val="28"/>
        </w:rPr>
        <w:t>Bảo đảm hỗ trợ đúng đối tượng, công khai, minh bạch, không để lợi dụng, trục lợi chính sách.</w:t>
      </w:r>
    </w:p>
    <w:p w14:paraId="1E237183" w14:textId="65D86880" w:rsidR="002476EB" w:rsidRDefault="00386AE7" w:rsidP="002767AE">
      <w:pPr>
        <w:snapToGrid w:val="0"/>
        <w:ind w:firstLineChars="202" w:firstLine="566"/>
        <w:contextualSpacing/>
        <w:rPr>
          <w:sz w:val="28"/>
          <w:szCs w:val="28"/>
        </w:rPr>
      </w:pPr>
      <w:r w:rsidRPr="00800189">
        <w:rPr>
          <w:sz w:val="28"/>
          <w:szCs w:val="28"/>
        </w:rPr>
        <w:t>2</w:t>
      </w:r>
      <w:r w:rsidR="002476EB" w:rsidRPr="002532BD">
        <w:rPr>
          <w:sz w:val="28"/>
          <w:szCs w:val="28"/>
        </w:rPr>
        <w:t xml:space="preserve">. </w:t>
      </w:r>
      <w:r w:rsidR="00031627" w:rsidRPr="002532BD">
        <w:rPr>
          <w:sz w:val="28"/>
          <w:szCs w:val="28"/>
        </w:rPr>
        <w:t>Những trường hợp</w:t>
      </w:r>
      <w:r w:rsidR="002476EB" w:rsidRPr="002532BD">
        <w:rPr>
          <w:sz w:val="28"/>
          <w:szCs w:val="28"/>
        </w:rPr>
        <w:t xml:space="preserve"> thuộc đối tượng áp dụng chính sách quy định tại Nghị </w:t>
      </w:r>
      <w:r w:rsidR="00031627" w:rsidRPr="002532BD">
        <w:rPr>
          <w:sz w:val="28"/>
          <w:szCs w:val="28"/>
        </w:rPr>
        <w:t>quyết</w:t>
      </w:r>
      <w:r w:rsidR="002476EB" w:rsidRPr="002532BD">
        <w:rPr>
          <w:sz w:val="28"/>
          <w:szCs w:val="28"/>
        </w:rPr>
        <w:t xml:space="preserve"> này, đồng thời thuộc đối tượng áp dụng chính sách cùng loại quy định tại văn bản quy phạm pháp luật khác thì chỉ được hưởng một mức cao nhất của chính sách đó.</w:t>
      </w:r>
    </w:p>
    <w:p w14:paraId="3A2DDD3A" w14:textId="30880D62" w:rsidR="004F725F" w:rsidRPr="00800189" w:rsidRDefault="004F725F" w:rsidP="002767AE">
      <w:pPr>
        <w:snapToGrid w:val="0"/>
        <w:ind w:firstLineChars="202" w:firstLine="566"/>
        <w:contextualSpacing/>
        <w:rPr>
          <w:color w:val="0000FF"/>
          <w:sz w:val="28"/>
          <w:szCs w:val="28"/>
        </w:rPr>
      </w:pPr>
      <w:r w:rsidRPr="00800189">
        <w:rPr>
          <w:color w:val="0000FF"/>
          <w:sz w:val="28"/>
          <w:szCs w:val="28"/>
        </w:rPr>
        <w:t xml:space="preserve">3. </w:t>
      </w:r>
      <w:r w:rsidR="00B749E1" w:rsidRPr="00800189">
        <w:rPr>
          <w:color w:val="0000FF"/>
          <w:sz w:val="28"/>
          <w:szCs w:val="28"/>
        </w:rPr>
        <w:t>Các</w:t>
      </w:r>
      <w:r w:rsidR="00740928" w:rsidRPr="00800189">
        <w:rPr>
          <w:color w:val="0000FF"/>
          <w:sz w:val="28"/>
          <w:szCs w:val="28"/>
        </w:rPr>
        <w:t xml:space="preserve"> xã khu vực I, II, III và thôn đặc biệt khó khăn</w:t>
      </w:r>
      <w:r w:rsidR="00A160C0" w:rsidRPr="00800189">
        <w:rPr>
          <w:color w:val="0000FF"/>
          <w:sz w:val="28"/>
          <w:szCs w:val="28"/>
        </w:rPr>
        <w:t xml:space="preserve"> nêu tại Nghị quyết này</w:t>
      </w:r>
      <w:r w:rsidR="00740928" w:rsidRPr="00800189">
        <w:rPr>
          <w:color w:val="0000FF"/>
          <w:sz w:val="28"/>
          <w:szCs w:val="28"/>
        </w:rPr>
        <w:t xml:space="preserve"> </w:t>
      </w:r>
      <w:r w:rsidR="00B749E1" w:rsidRPr="00800189">
        <w:rPr>
          <w:color w:val="0000FF"/>
          <w:sz w:val="28"/>
          <w:szCs w:val="28"/>
        </w:rPr>
        <w:t xml:space="preserve">áp dụng theo danh sách </w:t>
      </w:r>
      <w:r w:rsidR="007F5D7A" w:rsidRPr="00800189">
        <w:rPr>
          <w:color w:val="0000FF"/>
          <w:sz w:val="28"/>
          <w:szCs w:val="28"/>
        </w:rPr>
        <w:t xml:space="preserve">đã </w:t>
      </w:r>
      <w:r w:rsidR="00B749E1" w:rsidRPr="00800189">
        <w:rPr>
          <w:color w:val="0000FF"/>
          <w:sz w:val="28"/>
          <w:szCs w:val="28"/>
        </w:rPr>
        <w:t>được phê duyệt</w:t>
      </w:r>
      <w:r w:rsidR="007F5D7A" w:rsidRPr="00800189">
        <w:rPr>
          <w:color w:val="0000FF"/>
          <w:sz w:val="28"/>
          <w:szCs w:val="28"/>
        </w:rPr>
        <w:t xml:space="preserve"> </w:t>
      </w:r>
      <w:r w:rsidR="00E5216B" w:rsidRPr="00800189">
        <w:rPr>
          <w:color w:val="0000FF"/>
          <w:sz w:val="28"/>
          <w:szCs w:val="28"/>
        </w:rPr>
        <w:t xml:space="preserve">của cơ quan có thẩm quyền </w:t>
      </w:r>
      <w:r w:rsidR="00383FCC">
        <w:rPr>
          <w:color w:val="0000FF"/>
          <w:sz w:val="28"/>
          <w:szCs w:val="28"/>
          <w:lang w:val="en-US"/>
        </w:rPr>
        <w:t xml:space="preserve">ở </w:t>
      </w:r>
      <w:r w:rsidR="00E5216B" w:rsidRPr="00800189">
        <w:rPr>
          <w:color w:val="0000FF"/>
          <w:sz w:val="28"/>
          <w:szCs w:val="28"/>
        </w:rPr>
        <w:t>Trung ương.</w:t>
      </w:r>
    </w:p>
    <w:p w14:paraId="12ABEF79" w14:textId="36C397A7" w:rsidR="006D3D62" w:rsidRPr="002532BD" w:rsidRDefault="004F725F" w:rsidP="002767AE">
      <w:pPr>
        <w:snapToGrid w:val="0"/>
        <w:ind w:firstLineChars="202" w:firstLine="566"/>
        <w:contextualSpacing/>
        <w:rPr>
          <w:sz w:val="28"/>
          <w:szCs w:val="28"/>
        </w:rPr>
      </w:pPr>
      <w:r w:rsidRPr="00800189">
        <w:rPr>
          <w:sz w:val="28"/>
          <w:szCs w:val="28"/>
        </w:rPr>
        <w:t>4</w:t>
      </w:r>
      <w:r w:rsidR="00CE6622" w:rsidRPr="00800189">
        <w:rPr>
          <w:sz w:val="28"/>
          <w:szCs w:val="28"/>
        </w:rPr>
        <w:t xml:space="preserve">. </w:t>
      </w:r>
      <w:r w:rsidR="006D3D62" w:rsidRPr="00160449">
        <w:rPr>
          <w:color w:val="0000FF"/>
          <w:sz w:val="28"/>
          <w:szCs w:val="28"/>
        </w:rPr>
        <w:t>Khi các văn bản được viện dẫn tại Nghị quyết này được sửa đổi, bổ sung hoặc thay thế thì áp dụng theo văn bản sửa đổi, bổ sung hoặc th</w:t>
      </w:r>
      <w:r w:rsidR="006D3D62" w:rsidRPr="00160449">
        <w:rPr>
          <w:color w:val="0000FF"/>
          <w:sz w:val="28"/>
          <w:szCs w:val="28"/>
          <w:lang w:val="en-US"/>
        </w:rPr>
        <w:t>a</w:t>
      </w:r>
      <w:r w:rsidR="006D3D62" w:rsidRPr="00160449">
        <w:rPr>
          <w:color w:val="0000FF"/>
          <w:sz w:val="28"/>
          <w:szCs w:val="28"/>
        </w:rPr>
        <w:t xml:space="preserve">y thế </w:t>
      </w:r>
      <w:r w:rsidR="00160449" w:rsidRPr="00160449">
        <w:rPr>
          <w:color w:val="0000FF"/>
          <w:sz w:val="28"/>
          <w:szCs w:val="28"/>
          <w:lang w:val="en-US"/>
        </w:rPr>
        <w:t>tương ứng</w:t>
      </w:r>
      <w:r w:rsidR="006D3D62" w:rsidRPr="00160449">
        <w:rPr>
          <w:color w:val="0000FF"/>
          <w:sz w:val="28"/>
          <w:szCs w:val="28"/>
        </w:rPr>
        <w:t>.</w:t>
      </w:r>
    </w:p>
    <w:p w14:paraId="1FB05666" w14:textId="3DA0F392" w:rsidR="00135176" w:rsidRPr="002532BD" w:rsidRDefault="00CD0215" w:rsidP="000632D3">
      <w:pPr>
        <w:snapToGrid w:val="0"/>
        <w:ind w:firstLineChars="202" w:firstLine="568"/>
        <w:contextualSpacing/>
        <w:rPr>
          <w:b/>
          <w:sz w:val="28"/>
          <w:szCs w:val="28"/>
        </w:rPr>
      </w:pPr>
      <w:r w:rsidRPr="002532BD">
        <w:rPr>
          <w:b/>
          <w:sz w:val="28"/>
          <w:szCs w:val="28"/>
        </w:rPr>
        <w:t xml:space="preserve">Điều </w:t>
      </w:r>
      <w:r w:rsidR="00711D7C" w:rsidRPr="002532BD">
        <w:rPr>
          <w:b/>
          <w:sz w:val="28"/>
          <w:szCs w:val="28"/>
        </w:rPr>
        <w:t>4</w:t>
      </w:r>
      <w:r w:rsidRPr="002532BD">
        <w:rPr>
          <w:b/>
          <w:sz w:val="28"/>
          <w:szCs w:val="28"/>
        </w:rPr>
        <w:t xml:space="preserve">. </w:t>
      </w:r>
      <w:r w:rsidR="002932EA" w:rsidRPr="00800189">
        <w:rPr>
          <w:b/>
          <w:sz w:val="28"/>
          <w:szCs w:val="28"/>
        </w:rPr>
        <w:t>Hỗ trợ</w:t>
      </w:r>
      <w:r w:rsidR="00905096" w:rsidRPr="002532BD">
        <w:rPr>
          <w:b/>
          <w:sz w:val="28"/>
          <w:szCs w:val="28"/>
        </w:rPr>
        <w:t xml:space="preserve"> </w:t>
      </w:r>
      <w:r w:rsidR="00F152F7" w:rsidRPr="00F152F7">
        <w:rPr>
          <w:b/>
          <w:sz w:val="28"/>
          <w:szCs w:val="28"/>
        </w:rPr>
        <w:t>lần đầu khi nhận công tác</w:t>
      </w:r>
    </w:p>
    <w:p w14:paraId="4026A5F9" w14:textId="2CD7E910" w:rsidR="00027594" w:rsidRDefault="00EA0B05" w:rsidP="000632D3">
      <w:pPr>
        <w:snapToGrid w:val="0"/>
        <w:ind w:firstLineChars="202" w:firstLine="566"/>
        <w:contextualSpacing/>
        <w:rPr>
          <w:sz w:val="28"/>
          <w:szCs w:val="28"/>
        </w:rPr>
      </w:pPr>
      <w:r w:rsidRPr="00800189">
        <w:rPr>
          <w:sz w:val="28"/>
          <w:szCs w:val="28"/>
        </w:rPr>
        <w:t xml:space="preserve">1. </w:t>
      </w:r>
      <w:r w:rsidR="0004290B" w:rsidRPr="002532BD">
        <w:rPr>
          <w:sz w:val="28"/>
          <w:szCs w:val="28"/>
        </w:rPr>
        <w:t xml:space="preserve">Đối tượng quy định tại Điều 2 Nghị quyết này </w:t>
      </w:r>
      <w:r w:rsidR="00027594" w:rsidRPr="00027594">
        <w:rPr>
          <w:sz w:val="28"/>
          <w:szCs w:val="28"/>
        </w:rPr>
        <w:t xml:space="preserve">khi nhận công tác lần đầu ở </w:t>
      </w:r>
      <w:r w:rsidR="00027594" w:rsidRPr="000E78E9">
        <w:rPr>
          <w:color w:val="0000FF"/>
          <w:sz w:val="28"/>
          <w:szCs w:val="28"/>
        </w:rPr>
        <w:t>các huyện miền núi cao tỉnh Quảng Nam</w:t>
      </w:r>
      <w:r w:rsidR="00027594" w:rsidRPr="00027594">
        <w:rPr>
          <w:sz w:val="28"/>
          <w:szCs w:val="28"/>
        </w:rPr>
        <w:t xml:space="preserve"> </w:t>
      </w:r>
      <w:r w:rsidR="002669EC">
        <w:rPr>
          <w:spacing w:val="2"/>
          <w:sz w:val="28"/>
          <w:szCs w:val="28"/>
          <w:lang w:val="es-CL"/>
        </w:rPr>
        <w:t>và c</w:t>
      </w:r>
      <w:r w:rsidR="002669EC" w:rsidRPr="002532BD">
        <w:rPr>
          <w:spacing w:val="2"/>
          <w:sz w:val="28"/>
          <w:szCs w:val="28"/>
          <w:lang w:val="es-CL"/>
        </w:rPr>
        <w:t xml:space="preserve">ó cam kết làm việc tại </w:t>
      </w:r>
      <w:r w:rsidR="000C347D" w:rsidRPr="000E78E9">
        <w:rPr>
          <w:color w:val="0000FF"/>
          <w:sz w:val="28"/>
          <w:szCs w:val="28"/>
        </w:rPr>
        <w:t>các huyện miền núi cao tỉnh Quảng Nam</w:t>
      </w:r>
      <w:r w:rsidR="002669EC" w:rsidRPr="004A4C80">
        <w:rPr>
          <w:color w:val="0000FF"/>
          <w:spacing w:val="2"/>
          <w:sz w:val="28"/>
          <w:szCs w:val="28"/>
          <w:lang w:val="es-CL"/>
        </w:rPr>
        <w:t xml:space="preserve"> </w:t>
      </w:r>
      <w:r w:rsidR="002669EC" w:rsidRPr="002532BD">
        <w:rPr>
          <w:spacing w:val="2"/>
          <w:sz w:val="28"/>
          <w:szCs w:val="28"/>
          <w:lang w:val="es-CL"/>
        </w:rPr>
        <w:t xml:space="preserve">ít </w:t>
      </w:r>
      <w:r w:rsidR="002669EC" w:rsidRPr="002170BF">
        <w:rPr>
          <w:spacing w:val="2"/>
          <w:sz w:val="28"/>
          <w:szCs w:val="28"/>
          <w:lang w:val="es-CL"/>
        </w:rPr>
        <w:t xml:space="preserve">nhất </w:t>
      </w:r>
      <w:r w:rsidR="00B328B1">
        <w:rPr>
          <w:color w:val="0000FF"/>
          <w:spacing w:val="2"/>
          <w:sz w:val="28"/>
          <w:szCs w:val="28"/>
          <w:lang w:val="es-CL"/>
        </w:rPr>
        <w:t>05</w:t>
      </w:r>
      <w:r w:rsidR="002669EC" w:rsidRPr="008E29D9">
        <w:rPr>
          <w:color w:val="0000FF"/>
          <w:spacing w:val="2"/>
          <w:sz w:val="28"/>
          <w:szCs w:val="28"/>
          <w:lang w:val="es-CL"/>
        </w:rPr>
        <w:t xml:space="preserve"> năm </w:t>
      </w:r>
      <w:r w:rsidR="00027594" w:rsidRPr="00027594">
        <w:rPr>
          <w:sz w:val="28"/>
          <w:szCs w:val="28"/>
        </w:rPr>
        <w:t xml:space="preserve">được </w:t>
      </w:r>
      <w:r w:rsidR="003A4A3E" w:rsidRPr="00800189">
        <w:rPr>
          <w:sz w:val="28"/>
          <w:szCs w:val="28"/>
        </w:rPr>
        <w:t>hỗ trợ</w:t>
      </w:r>
      <w:r w:rsidR="00027594" w:rsidRPr="00027594">
        <w:rPr>
          <w:sz w:val="28"/>
          <w:szCs w:val="28"/>
        </w:rPr>
        <w:t xml:space="preserve"> như sau:</w:t>
      </w:r>
    </w:p>
    <w:p w14:paraId="2018CA8A" w14:textId="49CCD1FF" w:rsidR="00810D6A" w:rsidRPr="000C58BC" w:rsidRDefault="005B44BC" w:rsidP="000632D3">
      <w:pPr>
        <w:snapToGrid w:val="0"/>
        <w:ind w:firstLineChars="202" w:firstLine="558"/>
        <w:contextualSpacing/>
        <w:rPr>
          <w:spacing w:val="-4"/>
          <w:position w:val="0"/>
          <w:sz w:val="28"/>
          <w:szCs w:val="28"/>
          <w:lang w:val="es-CL"/>
        </w:rPr>
      </w:pPr>
      <w:r>
        <w:rPr>
          <w:spacing w:val="-4"/>
          <w:position w:val="0"/>
          <w:sz w:val="28"/>
          <w:szCs w:val="28"/>
          <w:lang w:val="es-CL"/>
        </w:rPr>
        <w:t>a)</w:t>
      </w:r>
      <w:r w:rsidR="00810D6A" w:rsidRPr="000C58BC">
        <w:rPr>
          <w:spacing w:val="-4"/>
          <w:position w:val="0"/>
          <w:sz w:val="28"/>
          <w:szCs w:val="28"/>
          <w:lang w:val="es-CL"/>
        </w:rPr>
        <w:t xml:space="preserve"> </w:t>
      </w:r>
      <w:r w:rsidR="00DC2731">
        <w:rPr>
          <w:spacing w:val="-4"/>
          <w:position w:val="0"/>
          <w:sz w:val="28"/>
          <w:szCs w:val="28"/>
          <w:lang w:val="es-CL"/>
        </w:rPr>
        <w:t>1</w:t>
      </w:r>
      <w:r w:rsidR="00810D6A" w:rsidRPr="000C58BC">
        <w:rPr>
          <w:spacing w:val="-4"/>
          <w:position w:val="0"/>
          <w:sz w:val="28"/>
          <w:szCs w:val="28"/>
          <w:lang w:val="es-CL"/>
        </w:rPr>
        <w:t>00.000.000 đồng/người đối với viên chức đến công tác tại các xã khu vực III hoặc thôn đặc biệt khó khăn.</w:t>
      </w:r>
    </w:p>
    <w:p w14:paraId="721EE014" w14:textId="0F4AFC1B" w:rsidR="00810D6A" w:rsidRPr="000C58BC" w:rsidRDefault="005B44BC" w:rsidP="000632D3">
      <w:pPr>
        <w:snapToGrid w:val="0"/>
        <w:ind w:firstLineChars="202" w:firstLine="558"/>
        <w:contextualSpacing/>
        <w:rPr>
          <w:spacing w:val="-4"/>
          <w:position w:val="0"/>
          <w:sz w:val="28"/>
          <w:szCs w:val="28"/>
          <w:lang w:val="es-CL"/>
        </w:rPr>
      </w:pPr>
      <w:r>
        <w:rPr>
          <w:spacing w:val="-4"/>
          <w:position w:val="0"/>
          <w:sz w:val="28"/>
          <w:szCs w:val="28"/>
          <w:lang w:val="es-CL"/>
        </w:rPr>
        <w:t>b)</w:t>
      </w:r>
      <w:r w:rsidR="00810D6A" w:rsidRPr="000C58BC">
        <w:rPr>
          <w:spacing w:val="-4"/>
          <w:position w:val="0"/>
          <w:sz w:val="28"/>
          <w:szCs w:val="28"/>
          <w:lang w:val="es-CL"/>
        </w:rPr>
        <w:t xml:space="preserve"> </w:t>
      </w:r>
      <w:r w:rsidR="00C27375">
        <w:rPr>
          <w:spacing w:val="-4"/>
          <w:position w:val="0"/>
          <w:sz w:val="28"/>
          <w:szCs w:val="28"/>
          <w:lang w:val="es-CL"/>
        </w:rPr>
        <w:t>75</w:t>
      </w:r>
      <w:r w:rsidR="00810D6A" w:rsidRPr="000C58BC">
        <w:rPr>
          <w:spacing w:val="-4"/>
          <w:position w:val="0"/>
          <w:sz w:val="28"/>
          <w:szCs w:val="28"/>
          <w:lang w:val="es-CL"/>
        </w:rPr>
        <w:t>.000.000 đồng/người đối với viên chức đến công tác tại các xã khu vực II.</w:t>
      </w:r>
    </w:p>
    <w:p w14:paraId="1FEF21C2" w14:textId="4ADF2B53" w:rsidR="000C5FD1" w:rsidRDefault="005B44BC" w:rsidP="000632D3">
      <w:pPr>
        <w:snapToGrid w:val="0"/>
        <w:ind w:firstLineChars="202" w:firstLine="558"/>
        <w:contextualSpacing/>
        <w:rPr>
          <w:spacing w:val="2"/>
          <w:sz w:val="28"/>
          <w:szCs w:val="28"/>
          <w:lang w:val="es-CL"/>
        </w:rPr>
      </w:pPr>
      <w:r>
        <w:rPr>
          <w:spacing w:val="-4"/>
          <w:position w:val="0"/>
          <w:sz w:val="28"/>
          <w:szCs w:val="28"/>
          <w:lang w:val="es-CL"/>
        </w:rPr>
        <w:t>c)</w:t>
      </w:r>
      <w:r w:rsidR="00810D6A" w:rsidRPr="000C58BC">
        <w:rPr>
          <w:spacing w:val="-4"/>
          <w:position w:val="0"/>
          <w:sz w:val="28"/>
          <w:szCs w:val="28"/>
          <w:lang w:val="es-CL"/>
        </w:rPr>
        <w:t xml:space="preserve"> 50.000.000 đồng/người</w:t>
      </w:r>
      <w:r w:rsidR="00810D6A" w:rsidRPr="00810D6A">
        <w:rPr>
          <w:spacing w:val="2"/>
          <w:sz w:val="28"/>
          <w:szCs w:val="28"/>
          <w:lang w:val="es-CL"/>
        </w:rPr>
        <w:t xml:space="preserve"> đối với viên chức đến công tác tại các xã khu vực I.</w:t>
      </w:r>
    </w:p>
    <w:p w14:paraId="35632241" w14:textId="74BA705A" w:rsidR="00EA0B05" w:rsidRPr="002532BD" w:rsidRDefault="00961507" w:rsidP="000632D3">
      <w:pPr>
        <w:snapToGrid w:val="0"/>
        <w:ind w:firstLineChars="202" w:firstLine="570"/>
        <w:contextualSpacing/>
        <w:rPr>
          <w:sz w:val="28"/>
          <w:szCs w:val="28"/>
        </w:rPr>
      </w:pPr>
      <w:r>
        <w:rPr>
          <w:spacing w:val="2"/>
          <w:sz w:val="28"/>
          <w:szCs w:val="28"/>
          <w:lang w:val="es-CL"/>
        </w:rPr>
        <w:t>2</w:t>
      </w:r>
      <w:r w:rsidR="00A15725">
        <w:rPr>
          <w:spacing w:val="2"/>
          <w:sz w:val="28"/>
          <w:szCs w:val="28"/>
          <w:lang w:val="es-CL"/>
        </w:rPr>
        <w:t xml:space="preserve">. </w:t>
      </w:r>
      <w:r w:rsidR="00EA0B05" w:rsidRPr="00EA0B05">
        <w:rPr>
          <w:spacing w:val="2"/>
          <w:sz w:val="28"/>
          <w:szCs w:val="28"/>
          <w:lang w:val="es-CL"/>
        </w:rPr>
        <w:t xml:space="preserve">Đối tượng được hưởng chính sách </w:t>
      </w:r>
      <w:r w:rsidR="00723E30">
        <w:rPr>
          <w:spacing w:val="2"/>
          <w:sz w:val="28"/>
          <w:szCs w:val="28"/>
          <w:lang w:val="es-CL"/>
        </w:rPr>
        <w:t>hỗ trợ</w:t>
      </w:r>
      <w:r w:rsidR="00EA0B05" w:rsidRPr="00EA0B05">
        <w:rPr>
          <w:spacing w:val="2"/>
          <w:sz w:val="28"/>
          <w:szCs w:val="28"/>
          <w:lang w:val="es-CL"/>
        </w:rPr>
        <w:t xml:space="preserve"> </w:t>
      </w:r>
      <w:r w:rsidR="00EA0B05">
        <w:rPr>
          <w:spacing w:val="2"/>
          <w:sz w:val="28"/>
          <w:szCs w:val="28"/>
          <w:lang w:val="es-CL"/>
        </w:rPr>
        <w:t xml:space="preserve">quy định tại khoản 1 Điều này </w:t>
      </w:r>
      <w:r w:rsidR="00EA0B05" w:rsidRPr="00EA0B05">
        <w:rPr>
          <w:spacing w:val="2"/>
          <w:sz w:val="28"/>
          <w:szCs w:val="28"/>
          <w:lang w:val="es-CL"/>
        </w:rPr>
        <w:t xml:space="preserve">phải chịu trách nhiệm bồi thường </w:t>
      </w:r>
      <w:r w:rsidR="00810853">
        <w:rPr>
          <w:spacing w:val="2"/>
          <w:sz w:val="28"/>
          <w:szCs w:val="28"/>
          <w:lang w:val="es-CL"/>
        </w:rPr>
        <w:t>100%</w:t>
      </w:r>
      <w:r w:rsidR="00EA0B05" w:rsidRPr="00EA0B05">
        <w:rPr>
          <w:spacing w:val="2"/>
          <w:sz w:val="28"/>
          <w:szCs w:val="28"/>
          <w:lang w:val="es-CL"/>
        </w:rPr>
        <w:t xml:space="preserve"> kinh phí được hỗ trợ nếu vi phạm một trong các trường hợp sau đây: Không chấp hành sự phân công công tác của cơ quan, đơn vị có thẩm quyền; liên tục 02 năm liền bị đánh giá không hoàn thành nhiệm vụ; đơn phương chấm dứt hợp đồng trước thời gian cam kết làm việc; tự ý bỏ việc trong thời gian cam kết; bị kỷ luật buộc thôi việc.</w:t>
      </w:r>
    </w:p>
    <w:p w14:paraId="5A99178E" w14:textId="64AC3CC9" w:rsidR="00135176" w:rsidRPr="00800189" w:rsidRDefault="00CD0215" w:rsidP="002767AE">
      <w:pPr>
        <w:snapToGrid w:val="0"/>
        <w:ind w:firstLineChars="202" w:firstLine="568"/>
        <w:contextualSpacing/>
        <w:rPr>
          <w:color w:val="0000FF"/>
          <w:sz w:val="28"/>
          <w:szCs w:val="28"/>
        </w:rPr>
      </w:pPr>
      <w:r w:rsidRPr="002532BD">
        <w:rPr>
          <w:b/>
          <w:sz w:val="28"/>
          <w:szCs w:val="28"/>
        </w:rPr>
        <w:t xml:space="preserve">Điều </w:t>
      </w:r>
      <w:r w:rsidR="00711D7C" w:rsidRPr="00A52F70">
        <w:rPr>
          <w:b/>
          <w:sz w:val="28"/>
          <w:szCs w:val="28"/>
        </w:rPr>
        <w:t>5</w:t>
      </w:r>
      <w:r w:rsidRPr="002532BD">
        <w:rPr>
          <w:b/>
          <w:sz w:val="28"/>
          <w:szCs w:val="28"/>
        </w:rPr>
        <w:t xml:space="preserve">. </w:t>
      </w:r>
      <w:r w:rsidR="00FD4AE2" w:rsidRPr="00800189">
        <w:rPr>
          <w:b/>
          <w:color w:val="0000FF"/>
          <w:sz w:val="28"/>
          <w:szCs w:val="28"/>
        </w:rPr>
        <w:t>Hỗ trợ sinh hoạt</w:t>
      </w:r>
      <w:r w:rsidR="00937D83" w:rsidRPr="00800189">
        <w:rPr>
          <w:b/>
          <w:color w:val="0000FF"/>
          <w:sz w:val="28"/>
          <w:szCs w:val="28"/>
        </w:rPr>
        <w:t xml:space="preserve"> hằng tháng</w:t>
      </w:r>
    </w:p>
    <w:p w14:paraId="14DD2BA3" w14:textId="55EBAEEC" w:rsidR="00F942E8" w:rsidRDefault="005B2992" w:rsidP="002767AE">
      <w:pPr>
        <w:snapToGrid w:val="0"/>
        <w:ind w:firstLineChars="202" w:firstLine="566"/>
        <w:contextualSpacing/>
        <w:rPr>
          <w:spacing w:val="2"/>
          <w:sz w:val="28"/>
          <w:szCs w:val="28"/>
          <w:lang w:val="es-CL"/>
        </w:rPr>
      </w:pPr>
      <w:r w:rsidRPr="00800189">
        <w:rPr>
          <w:sz w:val="28"/>
          <w:szCs w:val="28"/>
        </w:rPr>
        <w:t xml:space="preserve">1. </w:t>
      </w:r>
      <w:r w:rsidR="00F942E8" w:rsidRPr="002532BD">
        <w:rPr>
          <w:sz w:val="28"/>
          <w:szCs w:val="28"/>
        </w:rPr>
        <w:t>Đối tượng quy định tại</w:t>
      </w:r>
      <w:r w:rsidR="00CE1421" w:rsidRPr="00800189">
        <w:rPr>
          <w:sz w:val="28"/>
          <w:szCs w:val="28"/>
        </w:rPr>
        <w:t xml:space="preserve"> </w:t>
      </w:r>
      <w:r w:rsidR="00F942E8" w:rsidRPr="002532BD">
        <w:rPr>
          <w:sz w:val="28"/>
          <w:szCs w:val="28"/>
        </w:rPr>
        <w:t xml:space="preserve">Điều 2 Nghị quyết này </w:t>
      </w:r>
      <w:r w:rsidR="008A66E4" w:rsidRPr="009E293F">
        <w:rPr>
          <w:i/>
          <w:iCs/>
          <w:spacing w:val="2"/>
          <w:sz w:val="28"/>
          <w:szCs w:val="28"/>
          <w:lang w:val="es-CL"/>
        </w:rPr>
        <w:t>(</w:t>
      </w:r>
      <w:r w:rsidR="00CC2517" w:rsidRPr="00C735EE">
        <w:rPr>
          <w:i/>
          <w:iCs/>
          <w:sz w:val="28"/>
          <w:szCs w:val="28"/>
        </w:rPr>
        <w:t>bao gồm cả trường hợp biệt phái</w:t>
      </w:r>
      <w:r w:rsidR="00CC2517" w:rsidRPr="00800189">
        <w:rPr>
          <w:i/>
          <w:iCs/>
          <w:sz w:val="28"/>
          <w:szCs w:val="28"/>
        </w:rPr>
        <w:t xml:space="preserve"> </w:t>
      </w:r>
      <w:r w:rsidR="00CC2517" w:rsidRPr="00C735EE">
        <w:rPr>
          <w:i/>
          <w:iCs/>
          <w:sz w:val="28"/>
          <w:szCs w:val="28"/>
        </w:rPr>
        <w:t xml:space="preserve">và </w:t>
      </w:r>
      <w:r w:rsidR="00870C87" w:rsidRPr="009E293F">
        <w:rPr>
          <w:i/>
          <w:iCs/>
          <w:spacing w:val="2"/>
          <w:sz w:val="28"/>
          <w:szCs w:val="28"/>
          <w:lang w:val="es-CL"/>
        </w:rPr>
        <w:t>không bao gồm</w:t>
      </w:r>
      <w:r w:rsidR="008A66E4" w:rsidRPr="009E293F">
        <w:rPr>
          <w:i/>
          <w:iCs/>
          <w:spacing w:val="2"/>
          <w:sz w:val="28"/>
          <w:szCs w:val="28"/>
          <w:lang w:val="es-CL"/>
        </w:rPr>
        <w:t xml:space="preserve"> trường hợp đang</w:t>
      </w:r>
      <w:r w:rsidR="007D794A" w:rsidRPr="009E293F">
        <w:rPr>
          <w:i/>
          <w:iCs/>
          <w:spacing w:val="2"/>
          <w:sz w:val="28"/>
          <w:szCs w:val="28"/>
          <w:lang w:val="es-CL"/>
        </w:rPr>
        <w:t xml:space="preserve"> hưởng phụ cấp thu hút quy định tại Điều 4 Nghị định số 76/20</w:t>
      </w:r>
      <w:r w:rsidR="007B3B0A">
        <w:rPr>
          <w:i/>
          <w:iCs/>
          <w:spacing w:val="2"/>
          <w:sz w:val="28"/>
          <w:szCs w:val="28"/>
          <w:lang w:val="es-CL"/>
        </w:rPr>
        <w:t>1</w:t>
      </w:r>
      <w:r w:rsidR="007D794A" w:rsidRPr="009E293F">
        <w:rPr>
          <w:i/>
          <w:iCs/>
          <w:spacing w:val="2"/>
          <w:sz w:val="28"/>
          <w:szCs w:val="28"/>
          <w:lang w:val="es-CL"/>
        </w:rPr>
        <w:t>9/NĐ-CP ngày 08</w:t>
      </w:r>
      <w:r w:rsidR="00FC48A5" w:rsidRPr="009E293F">
        <w:rPr>
          <w:i/>
          <w:iCs/>
          <w:spacing w:val="2"/>
          <w:sz w:val="28"/>
          <w:szCs w:val="28"/>
          <w:lang w:val="es-CL"/>
        </w:rPr>
        <w:t>/1</w:t>
      </w:r>
      <w:r w:rsidR="007D794A" w:rsidRPr="009E293F">
        <w:rPr>
          <w:i/>
          <w:iCs/>
          <w:spacing w:val="2"/>
          <w:sz w:val="28"/>
          <w:szCs w:val="28"/>
          <w:lang w:val="es-CL"/>
        </w:rPr>
        <w:t>0</w:t>
      </w:r>
      <w:r w:rsidR="00FC48A5" w:rsidRPr="009E293F">
        <w:rPr>
          <w:i/>
          <w:iCs/>
          <w:spacing w:val="2"/>
          <w:sz w:val="28"/>
          <w:szCs w:val="28"/>
          <w:lang w:val="es-CL"/>
        </w:rPr>
        <w:t>/</w:t>
      </w:r>
      <w:r w:rsidR="007D794A" w:rsidRPr="009E293F">
        <w:rPr>
          <w:i/>
          <w:iCs/>
          <w:spacing w:val="2"/>
          <w:sz w:val="28"/>
          <w:szCs w:val="28"/>
          <w:lang w:val="es-CL"/>
        </w:rPr>
        <w:t>2019 của Chính phủ</w:t>
      </w:r>
      <w:r w:rsidR="008A66E4" w:rsidRPr="009E293F">
        <w:rPr>
          <w:i/>
          <w:iCs/>
          <w:spacing w:val="2"/>
          <w:sz w:val="28"/>
          <w:szCs w:val="28"/>
          <w:lang w:val="es-CL"/>
        </w:rPr>
        <w:t>)</w:t>
      </w:r>
      <w:r w:rsidR="007D794A" w:rsidRPr="0076014C">
        <w:rPr>
          <w:spacing w:val="2"/>
          <w:sz w:val="28"/>
          <w:szCs w:val="28"/>
          <w:lang w:val="es-CL"/>
        </w:rPr>
        <w:t xml:space="preserve"> </w:t>
      </w:r>
      <w:r w:rsidR="00F942E8" w:rsidRPr="0076014C">
        <w:rPr>
          <w:sz w:val="28"/>
          <w:szCs w:val="28"/>
        </w:rPr>
        <w:t xml:space="preserve">được </w:t>
      </w:r>
      <w:r w:rsidR="00870C87" w:rsidRPr="00800189">
        <w:rPr>
          <w:sz w:val="28"/>
          <w:szCs w:val="28"/>
        </w:rPr>
        <w:t>hỗ trợ sinh hoạt</w:t>
      </w:r>
      <w:r w:rsidR="00815DDB" w:rsidRPr="00800189">
        <w:rPr>
          <w:sz w:val="28"/>
          <w:szCs w:val="28"/>
        </w:rPr>
        <w:t xml:space="preserve"> </w:t>
      </w:r>
      <w:r w:rsidR="008104C1" w:rsidRPr="00800189">
        <w:rPr>
          <w:sz w:val="28"/>
          <w:szCs w:val="28"/>
        </w:rPr>
        <w:t xml:space="preserve">hằng tháng, </w:t>
      </w:r>
      <w:r w:rsidR="00531BF3" w:rsidRPr="0076014C">
        <w:rPr>
          <w:spacing w:val="2"/>
          <w:sz w:val="28"/>
          <w:szCs w:val="28"/>
          <w:lang w:val="es-CL"/>
        </w:rPr>
        <w:t xml:space="preserve">áp dụng đối với thời gian thực tế làm việc ở </w:t>
      </w:r>
      <w:r w:rsidR="006B200F" w:rsidRPr="006B200F">
        <w:rPr>
          <w:color w:val="0000FF"/>
          <w:spacing w:val="2"/>
          <w:sz w:val="28"/>
          <w:szCs w:val="28"/>
          <w:lang w:val="es-CL"/>
        </w:rPr>
        <w:t>các huyện miền núi cao</w:t>
      </w:r>
      <w:r w:rsidR="008104C1">
        <w:rPr>
          <w:spacing w:val="2"/>
          <w:sz w:val="28"/>
          <w:szCs w:val="28"/>
          <w:lang w:val="es-CL"/>
        </w:rPr>
        <w:t xml:space="preserve"> với mức hỗ trợ cụ thể như sau:</w:t>
      </w:r>
    </w:p>
    <w:p w14:paraId="267CA5DF" w14:textId="32B518AE" w:rsidR="008104C1" w:rsidRPr="008104C1" w:rsidRDefault="00416B51" w:rsidP="008104C1">
      <w:pPr>
        <w:snapToGrid w:val="0"/>
        <w:ind w:firstLineChars="202" w:firstLine="570"/>
        <w:contextualSpacing/>
        <w:rPr>
          <w:spacing w:val="2"/>
          <w:sz w:val="28"/>
          <w:szCs w:val="28"/>
          <w:lang w:val="es-CL"/>
        </w:rPr>
      </w:pPr>
      <w:r>
        <w:rPr>
          <w:spacing w:val="2"/>
          <w:sz w:val="28"/>
          <w:szCs w:val="28"/>
          <w:lang w:val="es-CL"/>
        </w:rPr>
        <w:t>a)</w:t>
      </w:r>
      <w:r w:rsidR="008104C1" w:rsidRPr="008104C1">
        <w:rPr>
          <w:spacing w:val="2"/>
          <w:sz w:val="28"/>
          <w:szCs w:val="28"/>
          <w:lang w:val="es-CL"/>
        </w:rPr>
        <w:t xml:space="preserve"> </w:t>
      </w:r>
      <w:r w:rsidR="0037637D">
        <w:rPr>
          <w:spacing w:val="2"/>
          <w:sz w:val="28"/>
          <w:szCs w:val="28"/>
          <w:lang w:val="es-CL"/>
        </w:rPr>
        <w:t>1</w:t>
      </w:r>
      <w:r w:rsidR="008104C1" w:rsidRPr="008104C1">
        <w:rPr>
          <w:spacing w:val="2"/>
          <w:sz w:val="28"/>
          <w:szCs w:val="28"/>
          <w:lang w:val="es-CL"/>
        </w:rPr>
        <w:t>.</w:t>
      </w:r>
      <w:r w:rsidR="0037637D">
        <w:rPr>
          <w:spacing w:val="2"/>
          <w:sz w:val="28"/>
          <w:szCs w:val="28"/>
          <w:lang w:val="es-CL"/>
        </w:rPr>
        <w:t>8</w:t>
      </w:r>
      <w:r w:rsidR="008104C1" w:rsidRPr="008104C1">
        <w:rPr>
          <w:spacing w:val="2"/>
          <w:sz w:val="28"/>
          <w:szCs w:val="28"/>
          <w:lang w:val="es-CL"/>
        </w:rPr>
        <w:t>00.000 đồng/người/tháng đối với viên chức công tác tại các xã khu vực III hoặc thôn đặc biệt khó khăn.</w:t>
      </w:r>
    </w:p>
    <w:p w14:paraId="16F41B54" w14:textId="5274A957" w:rsidR="008104C1" w:rsidRPr="005C4D63" w:rsidRDefault="00416B51" w:rsidP="008104C1">
      <w:pPr>
        <w:snapToGrid w:val="0"/>
        <w:ind w:firstLineChars="202" w:firstLine="558"/>
        <w:contextualSpacing/>
        <w:rPr>
          <w:spacing w:val="-4"/>
          <w:position w:val="0"/>
          <w:sz w:val="28"/>
          <w:szCs w:val="28"/>
          <w:lang w:val="es-CL"/>
        </w:rPr>
      </w:pPr>
      <w:r>
        <w:rPr>
          <w:spacing w:val="-4"/>
          <w:position w:val="0"/>
          <w:sz w:val="28"/>
          <w:szCs w:val="28"/>
          <w:lang w:val="es-CL"/>
        </w:rPr>
        <w:t>b)</w:t>
      </w:r>
      <w:r w:rsidR="008104C1" w:rsidRPr="005C4D63">
        <w:rPr>
          <w:spacing w:val="-4"/>
          <w:position w:val="0"/>
          <w:sz w:val="28"/>
          <w:szCs w:val="28"/>
          <w:lang w:val="es-CL"/>
        </w:rPr>
        <w:t xml:space="preserve"> 1.</w:t>
      </w:r>
      <w:r w:rsidR="005679A6">
        <w:rPr>
          <w:spacing w:val="-4"/>
          <w:position w:val="0"/>
          <w:sz w:val="28"/>
          <w:szCs w:val="28"/>
          <w:lang w:val="es-CL"/>
        </w:rPr>
        <w:t>5</w:t>
      </w:r>
      <w:r w:rsidR="008104C1" w:rsidRPr="005C4D63">
        <w:rPr>
          <w:spacing w:val="-4"/>
          <w:position w:val="0"/>
          <w:sz w:val="28"/>
          <w:szCs w:val="28"/>
          <w:lang w:val="es-CL"/>
        </w:rPr>
        <w:t>00.000 đồng/người/tháng đối với viên chức công tác tại các xã khu vực II.</w:t>
      </w:r>
    </w:p>
    <w:p w14:paraId="063EBA58" w14:textId="56CAA8AA" w:rsidR="008104C1" w:rsidRDefault="00416B51" w:rsidP="008104C1">
      <w:pPr>
        <w:snapToGrid w:val="0"/>
        <w:ind w:firstLineChars="202" w:firstLine="570"/>
        <w:contextualSpacing/>
        <w:rPr>
          <w:spacing w:val="2"/>
          <w:sz w:val="28"/>
          <w:szCs w:val="28"/>
          <w:lang w:val="es-CL"/>
        </w:rPr>
      </w:pPr>
      <w:r>
        <w:rPr>
          <w:spacing w:val="2"/>
          <w:sz w:val="28"/>
          <w:szCs w:val="28"/>
          <w:lang w:val="es-CL"/>
        </w:rPr>
        <w:lastRenderedPageBreak/>
        <w:t>c)</w:t>
      </w:r>
      <w:r w:rsidR="008104C1" w:rsidRPr="008104C1">
        <w:rPr>
          <w:spacing w:val="2"/>
          <w:sz w:val="28"/>
          <w:szCs w:val="28"/>
          <w:lang w:val="es-CL"/>
        </w:rPr>
        <w:t xml:space="preserve"> </w:t>
      </w:r>
      <w:r w:rsidR="005679A6">
        <w:rPr>
          <w:spacing w:val="2"/>
          <w:sz w:val="28"/>
          <w:szCs w:val="28"/>
          <w:lang w:val="es-CL"/>
        </w:rPr>
        <w:t>1.2</w:t>
      </w:r>
      <w:r w:rsidR="008104C1" w:rsidRPr="008104C1">
        <w:rPr>
          <w:spacing w:val="2"/>
          <w:sz w:val="28"/>
          <w:szCs w:val="28"/>
          <w:lang w:val="es-CL"/>
        </w:rPr>
        <w:t>00.000 đồng/người/tháng đối với viên chức công tác tại các xã khu vực I.</w:t>
      </w:r>
    </w:p>
    <w:p w14:paraId="652D56B7" w14:textId="26A99F39" w:rsidR="005B2992" w:rsidRPr="00E35F83" w:rsidRDefault="005B2992" w:rsidP="002767AE">
      <w:pPr>
        <w:snapToGrid w:val="0"/>
        <w:ind w:firstLineChars="202" w:firstLine="566"/>
        <w:contextualSpacing/>
        <w:rPr>
          <w:color w:val="0000FF"/>
          <w:sz w:val="28"/>
          <w:szCs w:val="28"/>
        </w:rPr>
      </w:pPr>
      <w:r w:rsidRPr="00800189">
        <w:rPr>
          <w:color w:val="0000FF"/>
          <w:sz w:val="28"/>
          <w:szCs w:val="28"/>
          <w:lang w:val="es-CL"/>
        </w:rPr>
        <w:t xml:space="preserve">2. </w:t>
      </w:r>
      <w:r w:rsidRPr="00E35F83">
        <w:rPr>
          <w:color w:val="0000FF"/>
          <w:sz w:val="28"/>
          <w:szCs w:val="28"/>
        </w:rPr>
        <w:t xml:space="preserve">Mức hỗ trợ quy định tại khoản </w:t>
      </w:r>
      <w:r w:rsidR="00C50B66" w:rsidRPr="00800189">
        <w:rPr>
          <w:color w:val="0000FF"/>
          <w:sz w:val="28"/>
          <w:szCs w:val="28"/>
          <w:lang w:val="es-CL"/>
        </w:rPr>
        <w:t>1 Điều này</w:t>
      </w:r>
      <w:r w:rsidRPr="00E35F83">
        <w:rPr>
          <w:color w:val="0000FF"/>
          <w:sz w:val="28"/>
          <w:szCs w:val="28"/>
        </w:rPr>
        <w:t xml:space="preserve"> không dùng làm cơ sở để tính đóng </w:t>
      </w:r>
      <w:r w:rsidR="00E96168" w:rsidRPr="00800189">
        <w:rPr>
          <w:color w:val="0000FF"/>
          <w:sz w:val="28"/>
          <w:szCs w:val="28"/>
          <w:lang w:val="es-CL"/>
        </w:rPr>
        <w:t>b</w:t>
      </w:r>
      <w:r w:rsidRPr="00E35F83">
        <w:rPr>
          <w:color w:val="0000FF"/>
          <w:sz w:val="28"/>
          <w:szCs w:val="28"/>
        </w:rPr>
        <w:t xml:space="preserve">ảo hiểm xã hội, </w:t>
      </w:r>
      <w:r w:rsidR="00E96168" w:rsidRPr="00800189">
        <w:rPr>
          <w:color w:val="0000FF"/>
          <w:sz w:val="28"/>
          <w:szCs w:val="28"/>
          <w:lang w:val="es-CL"/>
        </w:rPr>
        <w:t>b</w:t>
      </w:r>
      <w:r w:rsidRPr="00E35F83">
        <w:rPr>
          <w:color w:val="0000FF"/>
          <w:sz w:val="28"/>
          <w:szCs w:val="28"/>
        </w:rPr>
        <w:t xml:space="preserve">ảo hiểm y tế, </w:t>
      </w:r>
      <w:r w:rsidR="00E96168" w:rsidRPr="00800189">
        <w:rPr>
          <w:color w:val="0000FF"/>
          <w:sz w:val="28"/>
          <w:szCs w:val="28"/>
          <w:lang w:val="es-CL"/>
        </w:rPr>
        <w:t>b</w:t>
      </w:r>
      <w:r w:rsidRPr="00E35F83">
        <w:rPr>
          <w:color w:val="0000FF"/>
          <w:sz w:val="28"/>
          <w:szCs w:val="28"/>
        </w:rPr>
        <w:t>ảo hiểm thất nghiệp.</w:t>
      </w:r>
    </w:p>
    <w:p w14:paraId="33D39E5D" w14:textId="18DCDF10" w:rsidR="00E33E1B" w:rsidRPr="008B6873" w:rsidRDefault="00CD0215" w:rsidP="002767AE">
      <w:pPr>
        <w:snapToGrid w:val="0"/>
        <w:ind w:firstLineChars="202" w:firstLine="568"/>
        <w:contextualSpacing/>
        <w:rPr>
          <w:b/>
          <w:sz w:val="28"/>
          <w:szCs w:val="28"/>
        </w:rPr>
      </w:pPr>
      <w:r w:rsidRPr="008B6873">
        <w:rPr>
          <w:b/>
          <w:sz w:val="28"/>
          <w:szCs w:val="28"/>
        </w:rPr>
        <w:t xml:space="preserve">Điều </w:t>
      </w:r>
      <w:r w:rsidR="00771B9E" w:rsidRPr="008B6873">
        <w:rPr>
          <w:b/>
          <w:sz w:val="28"/>
          <w:szCs w:val="28"/>
        </w:rPr>
        <w:t>6</w:t>
      </w:r>
      <w:r w:rsidRPr="008B6873">
        <w:rPr>
          <w:b/>
          <w:sz w:val="28"/>
          <w:szCs w:val="28"/>
        </w:rPr>
        <w:t>. Kinh phí thực hiện</w:t>
      </w:r>
    </w:p>
    <w:p w14:paraId="3D82B34A" w14:textId="20500990" w:rsidR="00E33E1B" w:rsidRPr="00A8675B" w:rsidRDefault="00E33E1B" w:rsidP="002767AE">
      <w:pPr>
        <w:snapToGrid w:val="0"/>
        <w:ind w:firstLineChars="202" w:firstLine="566"/>
        <w:contextualSpacing/>
        <w:rPr>
          <w:bCs/>
          <w:color w:val="0000FF"/>
          <w:sz w:val="28"/>
          <w:szCs w:val="28"/>
        </w:rPr>
      </w:pPr>
      <w:r w:rsidRPr="008B6873">
        <w:rPr>
          <w:bCs/>
          <w:sz w:val="28"/>
          <w:szCs w:val="28"/>
        </w:rPr>
        <w:t>1. Dự kiến tổng kinh phí thực hiện trong giai đoạn 202</w:t>
      </w:r>
      <w:r w:rsidR="00E34734">
        <w:rPr>
          <w:bCs/>
          <w:sz w:val="28"/>
          <w:szCs w:val="28"/>
          <w:lang w:val="en-US"/>
        </w:rPr>
        <w:t>5</w:t>
      </w:r>
      <w:r w:rsidRPr="008B6873">
        <w:rPr>
          <w:bCs/>
          <w:sz w:val="28"/>
          <w:szCs w:val="28"/>
        </w:rPr>
        <w:t xml:space="preserve"> - </w:t>
      </w:r>
      <w:r w:rsidR="00A568BC" w:rsidRPr="008B6873">
        <w:rPr>
          <w:bCs/>
          <w:sz w:val="28"/>
          <w:szCs w:val="28"/>
        </w:rPr>
        <w:t>2026</w:t>
      </w:r>
      <w:r w:rsidRPr="008B6873">
        <w:rPr>
          <w:bCs/>
          <w:sz w:val="28"/>
          <w:szCs w:val="28"/>
        </w:rPr>
        <w:t xml:space="preserve"> khoảng </w:t>
      </w:r>
      <w:r w:rsidR="008C1E46">
        <w:rPr>
          <w:b/>
          <w:color w:val="0000FF"/>
          <w:sz w:val="28"/>
          <w:szCs w:val="28"/>
          <w:lang w:val="en-US"/>
        </w:rPr>
        <w:t>170</w:t>
      </w:r>
      <w:r w:rsidRPr="00A8675B">
        <w:rPr>
          <w:bCs/>
          <w:color w:val="0000FF"/>
          <w:sz w:val="28"/>
          <w:szCs w:val="28"/>
        </w:rPr>
        <w:t xml:space="preserve"> tỷ đồng; bình quân mỗi năm khoảng:</w:t>
      </w:r>
      <w:r w:rsidR="00783978" w:rsidRPr="00A8675B">
        <w:rPr>
          <w:bCs/>
          <w:color w:val="0000FF"/>
          <w:sz w:val="28"/>
          <w:szCs w:val="28"/>
        </w:rPr>
        <w:t xml:space="preserve"> </w:t>
      </w:r>
      <w:r w:rsidR="00DC6B3C">
        <w:rPr>
          <w:b/>
          <w:color w:val="0000FF"/>
          <w:sz w:val="28"/>
          <w:szCs w:val="28"/>
          <w:lang w:val="en-US"/>
        </w:rPr>
        <w:t>8</w:t>
      </w:r>
      <w:r w:rsidR="00E60131">
        <w:rPr>
          <w:b/>
          <w:color w:val="0000FF"/>
          <w:sz w:val="28"/>
          <w:szCs w:val="28"/>
          <w:lang w:val="en-US"/>
        </w:rPr>
        <w:t>5</w:t>
      </w:r>
      <w:r w:rsidR="00783978" w:rsidRPr="00A8675B">
        <w:rPr>
          <w:bCs/>
          <w:color w:val="0000FF"/>
          <w:sz w:val="28"/>
          <w:szCs w:val="28"/>
        </w:rPr>
        <w:t xml:space="preserve"> </w:t>
      </w:r>
      <w:r w:rsidRPr="00A8675B">
        <w:rPr>
          <w:bCs/>
          <w:color w:val="0000FF"/>
          <w:sz w:val="28"/>
          <w:szCs w:val="28"/>
        </w:rPr>
        <w:t>tỷ đồng.</w:t>
      </w:r>
    </w:p>
    <w:p w14:paraId="5999E7A1" w14:textId="3273B387" w:rsidR="00135176" w:rsidRPr="002532BD" w:rsidRDefault="00D00CEA" w:rsidP="002767AE">
      <w:pPr>
        <w:snapToGrid w:val="0"/>
        <w:ind w:firstLineChars="202" w:firstLine="566"/>
        <w:contextualSpacing/>
        <w:rPr>
          <w:sz w:val="28"/>
          <w:szCs w:val="28"/>
        </w:rPr>
      </w:pPr>
      <w:r w:rsidRPr="008E5B97">
        <w:rPr>
          <w:sz w:val="28"/>
          <w:szCs w:val="28"/>
        </w:rPr>
        <w:t xml:space="preserve">2. Nguồn kinh phí thực hiện: </w:t>
      </w:r>
      <w:r w:rsidR="00CD0215" w:rsidRPr="008E5B97">
        <w:rPr>
          <w:sz w:val="28"/>
          <w:szCs w:val="28"/>
        </w:rPr>
        <w:t>Ngân sách tỉnh.</w:t>
      </w:r>
    </w:p>
    <w:p w14:paraId="0057F19F" w14:textId="249191F8" w:rsidR="00135176" w:rsidRPr="002532BD" w:rsidRDefault="00CD0215" w:rsidP="002767AE">
      <w:pPr>
        <w:snapToGrid w:val="0"/>
        <w:ind w:firstLineChars="202" w:firstLine="568"/>
        <w:contextualSpacing/>
        <w:rPr>
          <w:sz w:val="28"/>
          <w:szCs w:val="28"/>
        </w:rPr>
      </w:pPr>
      <w:r w:rsidRPr="002532BD">
        <w:rPr>
          <w:b/>
          <w:sz w:val="28"/>
          <w:szCs w:val="28"/>
        </w:rPr>
        <w:t xml:space="preserve">Điều </w:t>
      </w:r>
      <w:r w:rsidR="00771B9E" w:rsidRPr="00800189">
        <w:rPr>
          <w:b/>
          <w:sz w:val="28"/>
          <w:szCs w:val="28"/>
        </w:rPr>
        <w:t>7</w:t>
      </w:r>
      <w:r w:rsidRPr="002532BD">
        <w:rPr>
          <w:b/>
          <w:sz w:val="28"/>
          <w:szCs w:val="28"/>
        </w:rPr>
        <w:t>. Tổ chức thực hiện</w:t>
      </w:r>
    </w:p>
    <w:p w14:paraId="48DD03FA" w14:textId="043C76AF" w:rsidR="00135176" w:rsidRPr="002532BD" w:rsidRDefault="00CD0215" w:rsidP="002767AE">
      <w:pPr>
        <w:snapToGrid w:val="0"/>
        <w:ind w:firstLineChars="202" w:firstLine="566"/>
        <w:contextualSpacing/>
        <w:rPr>
          <w:sz w:val="28"/>
          <w:szCs w:val="28"/>
        </w:rPr>
      </w:pPr>
      <w:r w:rsidRPr="002532BD">
        <w:rPr>
          <w:sz w:val="28"/>
          <w:szCs w:val="28"/>
        </w:rPr>
        <w:t>1. Giao Ủy ban nhân dân tỉnh triển khai thực hiện Nghị quyết</w:t>
      </w:r>
      <w:r w:rsidR="00CC083B" w:rsidRPr="002532BD">
        <w:rPr>
          <w:sz w:val="28"/>
          <w:szCs w:val="28"/>
        </w:rPr>
        <w:t>; định kỳ tổng hợp báo cáo Hội đồng nhân dân tỉnh kết quả thực hiện Nghị quyết tại kỳ họp thường lệ cuối năm.</w:t>
      </w:r>
    </w:p>
    <w:p w14:paraId="61EE75E5" w14:textId="0F539DB8" w:rsidR="00135176" w:rsidRPr="002532BD" w:rsidRDefault="00CD0215" w:rsidP="002767AE">
      <w:pPr>
        <w:snapToGrid w:val="0"/>
        <w:ind w:firstLineChars="202" w:firstLine="566"/>
        <w:contextualSpacing/>
        <w:rPr>
          <w:sz w:val="28"/>
          <w:szCs w:val="28"/>
        </w:rPr>
      </w:pPr>
      <w:r w:rsidRPr="002532BD">
        <w:rPr>
          <w:sz w:val="28"/>
          <w:szCs w:val="28"/>
        </w:rPr>
        <w:t>2. Thường trực Hội đồng nhân dân, các Ban của Hội đồng nhân dân, Tổ đại biểu và đại biểu Hội đồng nhân dân tỉnh giám sát việc thực hiện Nghị quyết.</w:t>
      </w:r>
    </w:p>
    <w:p w14:paraId="142DC5E2" w14:textId="453F9CD8" w:rsidR="00135176" w:rsidRPr="002532BD" w:rsidRDefault="00CD0215" w:rsidP="002767AE">
      <w:pPr>
        <w:snapToGrid w:val="0"/>
        <w:ind w:firstLineChars="202" w:firstLine="568"/>
        <w:contextualSpacing/>
        <w:rPr>
          <w:sz w:val="28"/>
          <w:szCs w:val="28"/>
        </w:rPr>
      </w:pPr>
      <w:r w:rsidRPr="002532BD">
        <w:rPr>
          <w:b/>
          <w:sz w:val="28"/>
          <w:szCs w:val="28"/>
        </w:rPr>
        <w:t xml:space="preserve">Điều </w:t>
      </w:r>
      <w:r w:rsidR="00771B9E" w:rsidRPr="00800189">
        <w:rPr>
          <w:b/>
          <w:sz w:val="28"/>
          <w:szCs w:val="28"/>
        </w:rPr>
        <w:t>8</w:t>
      </w:r>
      <w:r w:rsidRPr="002532BD">
        <w:rPr>
          <w:b/>
          <w:sz w:val="28"/>
          <w:szCs w:val="28"/>
        </w:rPr>
        <w:t>. Hiệu lực thi hành</w:t>
      </w:r>
    </w:p>
    <w:p w14:paraId="048F3B70" w14:textId="6CB90DEE" w:rsidR="00135176" w:rsidRPr="002532BD" w:rsidRDefault="00CD0215" w:rsidP="002767AE">
      <w:pPr>
        <w:snapToGrid w:val="0"/>
        <w:ind w:firstLineChars="202" w:firstLine="566"/>
        <w:contextualSpacing/>
        <w:rPr>
          <w:sz w:val="28"/>
          <w:szCs w:val="28"/>
        </w:rPr>
      </w:pPr>
      <w:r w:rsidRPr="002532BD">
        <w:rPr>
          <w:sz w:val="28"/>
          <w:szCs w:val="28"/>
        </w:rPr>
        <w:t>Nghị quyết này được Hội đồng nhân dân tỉnh Quảng Nam khóa X, kỳ họp thứ … thông qua ngày … tháng … năm 202</w:t>
      </w:r>
      <w:r w:rsidR="005F440C" w:rsidRPr="005F440C">
        <w:rPr>
          <w:sz w:val="28"/>
          <w:szCs w:val="28"/>
        </w:rPr>
        <w:t>4</w:t>
      </w:r>
      <w:r w:rsidR="00941D20" w:rsidRPr="002532BD">
        <w:rPr>
          <w:sz w:val="28"/>
          <w:szCs w:val="28"/>
        </w:rPr>
        <w:t xml:space="preserve"> và có hiệu lực </w:t>
      </w:r>
      <w:r w:rsidR="00711D7C" w:rsidRPr="002532BD">
        <w:rPr>
          <w:sz w:val="28"/>
          <w:szCs w:val="28"/>
        </w:rPr>
        <w:t xml:space="preserve">thi hành </w:t>
      </w:r>
      <w:r w:rsidR="00941D20" w:rsidRPr="002532BD">
        <w:rPr>
          <w:sz w:val="28"/>
          <w:szCs w:val="28"/>
        </w:rPr>
        <w:t>từ ngày … tháng … năm 202</w:t>
      </w:r>
      <w:r w:rsidR="005F440C" w:rsidRPr="005F440C">
        <w:rPr>
          <w:sz w:val="28"/>
          <w:szCs w:val="28"/>
        </w:rPr>
        <w:t>4</w:t>
      </w:r>
      <w:r w:rsidR="00941D20" w:rsidRPr="002532BD">
        <w:rPr>
          <w:sz w:val="28"/>
          <w:szCs w:val="28"/>
        </w:rPr>
        <w:t>.</w:t>
      </w:r>
      <w:r w:rsidRPr="002532BD">
        <w:rPr>
          <w:sz w:val="28"/>
          <w:szCs w:val="28"/>
        </w:rPr>
        <w:t>/.</w:t>
      </w:r>
    </w:p>
    <w:p w14:paraId="05E7EDB7" w14:textId="77777777" w:rsidR="00135176" w:rsidRPr="002532BD" w:rsidRDefault="00135176" w:rsidP="003522E7">
      <w:pPr>
        <w:spacing w:after="0" w:line="240" w:lineRule="auto"/>
        <w:ind w:left="1" w:hanging="3"/>
        <w:rPr>
          <w:sz w:val="28"/>
          <w:szCs w:val="28"/>
        </w:rPr>
      </w:pPr>
    </w:p>
    <w:tbl>
      <w:tblPr>
        <w:tblStyle w:val="a0"/>
        <w:tblW w:w="9356" w:type="dxa"/>
        <w:tblBorders>
          <w:top w:val="nil"/>
          <w:left w:val="nil"/>
          <w:bottom w:val="nil"/>
          <w:right w:val="nil"/>
          <w:insideH w:val="nil"/>
          <w:insideV w:val="nil"/>
        </w:tblBorders>
        <w:tblLayout w:type="fixed"/>
        <w:tblLook w:val="0000" w:firstRow="0" w:lastRow="0" w:firstColumn="0" w:lastColumn="0" w:noHBand="0" w:noVBand="0"/>
      </w:tblPr>
      <w:tblGrid>
        <w:gridCol w:w="4928"/>
        <w:gridCol w:w="4428"/>
      </w:tblGrid>
      <w:tr w:rsidR="002532BD" w:rsidRPr="002532BD" w14:paraId="0DE5CC89" w14:textId="77777777">
        <w:tc>
          <w:tcPr>
            <w:tcW w:w="4928" w:type="dxa"/>
            <w:tcBorders>
              <w:top w:val="nil"/>
              <w:left w:val="nil"/>
              <w:bottom w:val="nil"/>
              <w:right w:val="nil"/>
            </w:tcBorders>
            <w:tcMar>
              <w:top w:w="0" w:type="dxa"/>
              <w:left w:w="108" w:type="dxa"/>
              <w:bottom w:w="0" w:type="dxa"/>
              <w:right w:w="108" w:type="dxa"/>
            </w:tcMar>
          </w:tcPr>
          <w:p w14:paraId="2D973789" w14:textId="77777777" w:rsidR="00135176" w:rsidRPr="002532BD" w:rsidRDefault="00CD0215" w:rsidP="003522E7">
            <w:pPr>
              <w:spacing w:after="0" w:line="240" w:lineRule="auto"/>
              <w:ind w:hanging="2"/>
              <w:jc w:val="left"/>
              <w:rPr>
                <w:sz w:val="22"/>
                <w:szCs w:val="22"/>
              </w:rPr>
            </w:pPr>
            <w:r w:rsidRPr="002532BD">
              <w:rPr>
                <w:b/>
                <w:i/>
                <w:sz w:val="22"/>
                <w:szCs w:val="22"/>
              </w:rPr>
              <w:t>Nơi nhận:</w:t>
            </w:r>
            <w:r w:rsidRPr="002532BD">
              <w:rPr>
                <w:b/>
                <w:i/>
                <w:sz w:val="22"/>
                <w:szCs w:val="22"/>
              </w:rPr>
              <w:br/>
            </w:r>
            <w:r w:rsidRPr="002532BD">
              <w:rPr>
                <w:sz w:val="22"/>
                <w:szCs w:val="22"/>
              </w:rPr>
              <w:t>- Ủy ban Thường vụ Quốc hội;</w:t>
            </w:r>
            <w:r w:rsidRPr="002532BD">
              <w:rPr>
                <w:sz w:val="22"/>
                <w:szCs w:val="22"/>
              </w:rPr>
              <w:br/>
              <w:t>- Chính phủ;</w:t>
            </w:r>
            <w:r w:rsidRPr="002532BD">
              <w:rPr>
                <w:sz w:val="22"/>
                <w:szCs w:val="22"/>
              </w:rPr>
              <w:br/>
              <w:t>- VP: QH, CTN, CP;</w:t>
            </w:r>
            <w:r w:rsidRPr="002532BD">
              <w:rPr>
                <w:sz w:val="22"/>
                <w:szCs w:val="22"/>
              </w:rPr>
              <w:br/>
              <w:t>- Ban CTĐB-UBTVQH;</w:t>
            </w:r>
            <w:r w:rsidRPr="002532BD">
              <w:rPr>
                <w:sz w:val="22"/>
                <w:szCs w:val="22"/>
              </w:rPr>
              <w:br/>
              <w:t>- Bộ Giáo dục và Đào tạo;</w:t>
            </w:r>
            <w:r w:rsidRPr="002532BD">
              <w:rPr>
                <w:sz w:val="22"/>
                <w:szCs w:val="22"/>
              </w:rPr>
              <w:br/>
              <w:t>- Cục KTVBQPPL-Bộ Tư pháp;</w:t>
            </w:r>
            <w:r w:rsidRPr="002532BD">
              <w:rPr>
                <w:sz w:val="22"/>
                <w:szCs w:val="22"/>
              </w:rPr>
              <w:br/>
              <w:t>- Ban TVTU, TT HĐND, UBND tỉnh;</w:t>
            </w:r>
            <w:r w:rsidRPr="002532BD">
              <w:rPr>
                <w:sz w:val="22"/>
                <w:szCs w:val="22"/>
              </w:rPr>
              <w:br/>
              <w:t>- UBMTTQVN tỉnh, Đoàn ĐBQH tỉnh;</w:t>
            </w:r>
            <w:r w:rsidRPr="002532BD">
              <w:rPr>
                <w:sz w:val="22"/>
                <w:szCs w:val="22"/>
              </w:rPr>
              <w:br/>
              <w:t>- Các Ban của HĐND tỉnh;</w:t>
            </w:r>
            <w:r w:rsidRPr="002532BD">
              <w:rPr>
                <w:sz w:val="22"/>
                <w:szCs w:val="22"/>
              </w:rPr>
              <w:br/>
              <w:t>- Đại biểu HĐND tỉnh;</w:t>
            </w:r>
            <w:r w:rsidRPr="002532BD">
              <w:rPr>
                <w:sz w:val="22"/>
                <w:szCs w:val="22"/>
              </w:rPr>
              <w:br/>
              <w:t>- VP: Tỉnh ủy, UBND tỉnh;</w:t>
            </w:r>
            <w:r w:rsidRPr="002532BD">
              <w:rPr>
                <w:sz w:val="22"/>
                <w:szCs w:val="22"/>
              </w:rPr>
              <w:br/>
              <w:t>- Các sở, ban, ngành, đoàn thể tỉnh;</w:t>
            </w:r>
            <w:r w:rsidRPr="002532BD">
              <w:rPr>
                <w:sz w:val="22"/>
                <w:szCs w:val="22"/>
              </w:rPr>
              <w:br/>
              <w:t>- TT HĐND, UBND các huyện, thị xã, thành phố;</w:t>
            </w:r>
            <w:r w:rsidRPr="002532BD">
              <w:rPr>
                <w:sz w:val="22"/>
                <w:szCs w:val="22"/>
              </w:rPr>
              <w:br/>
              <w:t>- Cổng thông tin điện tử tỉnh;</w:t>
            </w:r>
            <w:r w:rsidRPr="002532BD">
              <w:rPr>
                <w:sz w:val="22"/>
                <w:szCs w:val="22"/>
              </w:rPr>
              <w:br/>
              <w:t>- TTXVN tại Quảng Nam;</w:t>
            </w:r>
            <w:r w:rsidRPr="002532BD">
              <w:rPr>
                <w:sz w:val="22"/>
                <w:szCs w:val="22"/>
              </w:rPr>
              <w:br/>
              <w:t>- Báo Quảng Nam, Đài PT-TH tỉnh;</w:t>
            </w:r>
            <w:r w:rsidRPr="002532BD">
              <w:rPr>
                <w:sz w:val="22"/>
                <w:szCs w:val="22"/>
              </w:rPr>
              <w:br/>
              <w:t>- Văn phòng Đoàn ĐBQH và HĐND tỉnh;</w:t>
            </w:r>
            <w:r w:rsidRPr="002532BD">
              <w:rPr>
                <w:sz w:val="22"/>
                <w:szCs w:val="22"/>
              </w:rPr>
              <w:br/>
              <w:t>- Lưu: VT, CTHĐND.</w:t>
            </w:r>
          </w:p>
        </w:tc>
        <w:tc>
          <w:tcPr>
            <w:tcW w:w="4428" w:type="dxa"/>
            <w:tcBorders>
              <w:top w:val="nil"/>
              <w:left w:val="nil"/>
              <w:bottom w:val="nil"/>
              <w:right w:val="nil"/>
            </w:tcBorders>
            <w:tcMar>
              <w:top w:w="0" w:type="dxa"/>
              <w:left w:w="108" w:type="dxa"/>
              <w:bottom w:w="0" w:type="dxa"/>
              <w:right w:w="108" w:type="dxa"/>
            </w:tcMar>
          </w:tcPr>
          <w:p w14:paraId="21E6E981" w14:textId="4AB911BD" w:rsidR="00645E16" w:rsidRPr="00A52F70" w:rsidRDefault="00645E16" w:rsidP="003522E7">
            <w:pPr>
              <w:spacing w:after="0" w:line="240" w:lineRule="auto"/>
              <w:ind w:left="1" w:hanging="3"/>
              <w:jc w:val="center"/>
              <w:rPr>
                <w:b/>
                <w:sz w:val="28"/>
                <w:szCs w:val="28"/>
              </w:rPr>
            </w:pPr>
            <w:r w:rsidRPr="002532BD">
              <w:rPr>
                <w:b/>
                <w:sz w:val="28"/>
                <w:szCs w:val="28"/>
              </w:rPr>
              <w:t>TM. HỘI ĐỒNG NHÂN DÂ</w:t>
            </w:r>
            <w:r w:rsidRPr="00A52F70">
              <w:rPr>
                <w:b/>
                <w:sz w:val="28"/>
                <w:szCs w:val="28"/>
              </w:rPr>
              <w:t>N</w:t>
            </w:r>
          </w:p>
          <w:p w14:paraId="1D3A4323" w14:textId="3D773988" w:rsidR="00135176" w:rsidRPr="002532BD" w:rsidRDefault="00CD0215" w:rsidP="003522E7">
            <w:pPr>
              <w:spacing w:after="0" w:line="240" w:lineRule="auto"/>
              <w:ind w:left="1" w:hanging="3"/>
              <w:jc w:val="center"/>
              <w:rPr>
                <w:sz w:val="28"/>
                <w:szCs w:val="28"/>
              </w:rPr>
            </w:pPr>
            <w:r w:rsidRPr="002532BD">
              <w:rPr>
                <w:b/>
                <w:sz w:val="28"/>
                <w:szCs w:val="28"/>
              </w:rPr>
              <w:t>CHỦ TỊCH</w:t>
            </w:r>
            <w:r w:rsidRPr="002532BD">
              <w:rPr>
                <w:sz w:val="28"/>
                <w:szCs w:val="28"/>
              </w:rPr>
              <w:br/>
            </w:r>
            <w:r w:rsidRPr="002532BD">
              <w:rPr>
                <w:sz w:val="28"/>
                <w:szCs w:val="28"/>
              </w:rPr>
              <w:br/>
            </w:r>
            <w:r w:rsidRPr="002532BD">
              <w:rPr>
                <w:sz w:val="28"/>
                <w:szCs w:val="28"/>
              </w:rPr>
              <w:br/>
            </w:r>
          </w:p>
          <w:p w14:paraId="5F2E4A50" w14:textId="4E1D1255" w:rsidR="00135176" w:rsidRPr="002532BD" w:rsidRDefault="00CD0215" w:rsidP="003522E7">
            <w:pPr>
              <w:spacing w:after="0" w:line="240" w:lineRule="auto"/>
              <w:ind w:left="1" w:hanging="3"/>
              <w:jc w:val="center"/>
              <w:rPr>
                <w:sz w:val="28"/>
                <w:szCs w:val="28"/>
              </w:rPr>
            </w:pPr>
            <w:r w:rsidRPr="002532BD">
              <w:rPr>
                <w:sz w:val="28"/>
                <w:szCs w:val="28"/>
              </w:rPr>
              <w:br/>
            </w:r>
            <w:r w:rsidRPr="002532BD">
              <w:rPr>
                <w:sz w:val="28"/>
                <w:szCs w:val="28"/>
              </w:rPr>
              <w:br/>
            </w:r>
          </w:p>
        </w:tc>
      </w:tr>
    </w:tbl>
    <w:p w14:paraId="43E465B5" w14:textId="77777777" w:rsidR="00135176" w:rsidRPr="002532BD" w:rsidRDefault="00135176" w:rsidP="00854696">
      <w:pPr>
        <w:ind w:hanging="2"/>
      </w:pPr>
    </w:p>
    <w:sectPr w:rsidR="00135176" w:rsidRPr="002532BD" w:rsidSect="003C3604">
      <w:headerReference w:type="even" r:id="rId7"/>
      <w:headerReference w:type="default" r:id="rId8"/>
      <w:footerReference w:type="even" r:id="rId9"/>
      <w:footerReference w:type="default" r:id="rId10"/>
      <w:headerReference w:type="first" r:id="rId11"/>
      <w:footerReference w:type="first" r:id="rId12"/>
      <w:pgSz w:w="11907" w:h="16840"/>
      <w:pgMar w:top="1134" w:right="851"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6B91" w14:textId="77777777" w:rsidR="000C008E" w:rsidRDefault="000C008E" w:rsidP="0004290B">
      <w:pPr>
        <w:spacing w:after="0" w:line="240" w:lineRule="auto"/>
        <w:ind w:hanging="2"/>
      </w:pPr>
      <w:r>
        <w:separator/>
      </w:r>
    </w:p>
  </w:endnote>
  <w:endnote w:type="continuationSeparator" w:id="0">
    <w:p w14:paraId="59964399" w14:textId="77777777" w:rsidR="000C008E" w:rsidRDefault="000C008E" w:rsidP="0004290B">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26EA" w14:textId="77777777" w:rsidR="003C3604" w:rsidRDefault="003C3604">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763F" w14:textId="77777777" w:rsidR="003C3604" w:rsidRDefault="003C3604">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8F25" w14:textId="77777777" w:rsidR="003C3604" w:rsidRDefault="003C3604">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E16B" w14:textId="77777777" w:rsidR="000C008E" w:rsidRDefault="000C008E" w:rsidP="0004290B">
      <w:pPr>
        <w:spacing w:after="0" w:line="240" w:lineRule="auto"/>
        <w:ind w:hanging="2"/>
      </w:pPr>
      <w:r>
        <w:separator/>
      </w:r>
    </w:p>
  </w:footnote>
  <w:footnote w:type="continuationSeparator" w:id="0">
    <w:p w14:paraId="1BA35EA1" w14:textId="77777777" w:rsidR="000C008E" w:rsidRDefault="000C008E" w:rsidP="0004290B">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4013" w14:textId="77777777" w:rsidR="003C3604" w:rsidRDefault="003C3604">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12406"/>
      <w:docPartObj>
        <w:docPartGallery w:val="Page Numbers (Top of Page)"/>
        <w:docPartUnique/>
      </w:docPartObj>
    </w:sdtPr>
    <w:sdtEndPr>
      <w:rPr>
        <w:noProof/>
      </w:rPr>
    </w:sdtEndPr>
    <w:sdtContent>
      <w:p w14:paraId="4E2333F1" w14:textId="22136870" w:rsidR="003C3604" w:rsidRDefault="003C3604">
        <w:pPr>
          <w:pStyle w:val="Header"/>
          <w:ind w:hanging="2"/>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5432" w14:textId="77777777" w:rsidR="003C3604" w:rsidRDefault="003C3604">
    <w:pPr>
      <w:pStyle w:val="Header"/>
      <w:ind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76"/>
    <w:rsid w:val="00003758"/>
    <w:rsid w:val="00003F5C"/>
    <w:rsid w:val="00010B61"/>
    <w:rsid w:val="00017D47"/>
    <w:rsid w:val="00023E67"/>
    <w:rsid w:val="00027594"/>
    <w:rsid w:val="00031627"/>
    <w:rsid w:val="00032CA4"/>
    <w:rsid w:val="0004049E"/>
    <w:rsid w:val="0004290B"/>
    <w:rsid w:val="00043179"/>
    <w:rsid w:val="00043191"/>
    <w:rsid w:val="00051D49"/>
    <w:rsid w:val="0006065C"/>
    <w:rsid w:val="000632D3"/>
    <w:rsid w:val="00063D46"/>
    <w:rsid w:val="00064243"/>
    <w:rsid w:val="00066397"/>
    <w:rsid w:val="000A5307"/>
    <w:rsid w:val="000C008E"/>
    <w:rsid w:val="000C347D"/>
    <w:rsid w:val="000C58BC"/>
    <w:rsid w:val="000C5FD1"/>
    <w:rsid w:val="000D2CD2"/>
    <w:rsid w:val="000D74B9"/>
    <w:rsid w:val="000E78E9"/>
    <w:rsid w:val="00124366"/>
    <w:rsid w:val="0013317A"/>
    <w:rsid w:val="0013336D"/>
    <w:rsid w:val="00135176"/>
    <w:rsid w:val="00153647"/>
    <w:rsid w:val="00156780"/>
    <w:rsid w:val="00160449"/>
    <w:rsid w:val="00182359"/>
    <w:rsid w:val="0019499E"/>
    <w:rsid w:val="001A030D"/>
    <w:rsid w:val="001A3F3C"/>
    <w:rsid w:val="001A4AC3"/>
    <w:rsid w:val="001A7727"/>
    <w:rsid w:val="001D65FC"/>
    <w:rsid w:val="002005BA"/>
    <w:rsid w:val="00213496"/>
    <w:rsid w:val="002170BF"/>
    <w:rsid w:val="00233586"/>
    <w:rsid w:val="00234B4C"/>
    <w:rsid w:val="0024143F"/>
    <w:rsid w:val="002476EB"/>
    <w:rsid w:val="00252FC6"/>
    <w:rsid w:val="002532BD"/>
    <w:rsid w:val="002669EC"/>
    <w:rsid w:val="002767AE"/>
    <w:rsid w:val="00277015"/>
    <w:rsid w:val="002932EA"/>
    <w:rsid w:val="0029639B"/>
    <w:rsid w:val="002B395C"/>
    <w:rsid w:val="002B5968"/>
    <w:rsid w:val="002C76CE"/>
    <w:rsid w:val="002D395B"/>
    <w:rsid w:val="002E3EB4"/>
    <w:rsid w:val="002E6DDD"/>
    <w:rsid w:val="002F6D4B"/>
    <w:rsid w:val="00310487"/>
    <w:rsid w:val="00325113"/>
    <w:rsid w:val="00332F5D"/>
    <w:rsid w:val="003412DA"/>
    <w:rsid w:val="003522E7"/>
    <w:rsid w:val="00363E47"/>
    <w:rsid w:val="0037637D"/>
    <w:rsid w:val="00376777"/>
    <w:rsid w:val="00383FCC"/>
    <w:rsid w:val="00386AE7"/>
    <w:rsid w:val="003966BC"/>
    <w:rsid w:val="003A15DE"/>
    <w:rsid w:val="003A4A3E"/>
    <w:rsid w:val="003B0716"/>
    <w:rsid w:val="003C3604"/>
    <w:rsid w:val="003C5566"/>
    <w:rsid w:val="003E021F"/>
    <w:rsid w:val="003F134F"/>
    <w:rsid w:val="003F27E8"/>
    <w:rsid w:val="003F2D05"/>
    <w:rsid w:val="00406AA1"/>
    <w:rsid w:val="00410A6F"/>
    <w:rsid w:val="00411548"/>
    <w:rsid w:val="004162B4"/>
    <w:rsid w:val="00416B51"/>
    <w:rsid w:val="00431D89"/>
    <w:rsid w:val="0043236F"/>
    <w:rsid w:val="00440BF9"/>
    <w:rsid w:val="00443BF7"/>
    <w:rsid w:val="00471D4C"/>
    <w:rsid w:val="004A459F"/>
    <w:rsid w:val="004A4C80"/>
    <w:rsid w:val="004B5530"/>
    <w:rsid w:val="004B613E"/>
    <w:rsid w:val="004B7881"/>
    <w:rsid w:val="004D7A1D"/>
    <w:rsid w:val="004E5212"/>
    <w:rsid w:val="004F4FF3"/>
    <w:rsid w:val="004F725F"/>
    <w:rsid w:val="0050290D"/>
    <w:rsid w:val="00507C86"/>
    <w:rsid w:val="0051364B"/>
    <w:rsid w:val="00530358"/>
    <w:rsid w:val="00530C8A"/>
    <w:rsid w:val="00531BF3"/>
    <w:rsid w:val="00543956"/>
    <w:rsid w:val="00550016"/>
    <w:rsid w:val="00553595"/>
    <w:rsid w:val="005679A6"/>
    <w:rsid w:val="00586AEB"/>
    <w:rsid w:val="005A07AD"/>
    <w:rsid w:val="005B2992"/>
    <w:rsid w:val="005B44BC"/>
    <w:rsid w:val="005C4D63"/>
    <w:rsid w:val="005F440C"/>
    <w:rsid w:val="0060026D"/>
    <w:rsid w:val="00621B0F"/>
    <w:rsid w:val="00621D07"/>
    <w:rsid w:val="00623DCA"/>
    <w:rsid w:val="00625A17"/>
    <w:rsid w:val="00642049"/>
    <w:rsid w:val="00645E16"/>
    <w:rsid w:val="00645EAE"/>
    <w:rsid w:val="00654115"/>
    <w:rsid w:val="00655E80"/>
    <w:rsid w:val="006571C1"/>
    <w:rsid w:val="0066208B"/>
    <w:rsid w:val="0066788B"/>
    <w:rsid w:val="00667D51"/>
    <w:rsid w:val="006702CE"/>
    <w:rsid w:val="00671457"/>
    <w:rsid w:val="00677508"/>
    <w:rsid w:val="00680A45"/>
    <w:rsid w:val="00683C97"/>
    <w:rsid w:val="00692934"/>
    <w:rsid w:val="006A17C8"/>
    <w:rsid w:val="006A1D4C"/>
    <w:rsid w:val="006B200F"/>
    <w:rsid w:val="006B3D76"/>
    <w:rsid w:val="006B4096"/>
    <w:rsid w:val="006B610E"/>
    <w:rsid w:val="006B7E08"/>
    <w:rsid w:val="006D3D62"/>
    <w:rsid w:val="006E0BFA"/>
    <w:rsid w:val="006E3FCF"/>
    <w:rsid w:val="006E59CD"/>
    <w:rsid w:val="006F5FE7"/>
    <w:rsid w:val="006F70A6"/>
    <w:rsid w:val="00704D8A"/>
    <w:rsid w:val="00711D7C"/>
    <w:rsid w:val="00723E30"/>
    <w:rsid w:val="007249A1"/>
    <w:rsid w:val="00725B86"/>
    <w:rsid w:val="0072700B"/>
    <w:rsid w:val="007336D5"/>
    <w:rsid w:val="007401C3"/>
    <w:rsid w:val="00740928"/>
    <w:rsid w:val="00744F56"/>
    <w:rsid w:val="007467C5"/>
    <w:rsid w:val="00752308"/>
    <w:rsid w:val="0076014C"/>
    <w:rsid w:val="007647E5"/>
    <w:rsid w:val="00771B9E"/>
    <w:rsid w:val="00783978"/>
    <w:rsid w:val="007858F2"/>
    <w:rsid w:val="007A0C23"/>
    <w:rsid w:val="007A3F06"/>
    <w:rsid w:val="007A43AE"/>
    <w:rsid w:val="007B27D9"/>
    <w:rsid w:val="007B3B0A"/>
    <w:rsid w:val="007C0747"/>
    <w:rsid w:val="007D2F12"/>
    <w:rsid w:val="007D3975"/>
    <w:rsid w:val="007D4869"/>
    <w:rsid w:val="007D760E"/>
    <w:rsid w:val="007D794A"/>
    <w:rsid w:val="007E037C"/>
    <w:rsid w:val="007E0EAE"/>
    <w:rsid w:val="007F0DCD"/>
    <w:rsid w:val="007F3712"/>
    <w:rsid w:val="007F5D7A"/>
    <w:rsid w:val="00800189"/>
    <w:rsid w:val="00801F7D"/>
    <w:rsid w:val="00806CF4"/>
    <w:rsid w:val="008104C1"/>
    <w:rsid w:val="00810853"/>
    <w:rsid w:val="00810D6A"/>
    <w:rsid w:val="00814612"/>
    <w:rsid w:val="00815DDB"/>
    <w:rsid w:val="00820D8E"/>
    <w:rsid w:val="00846CFD"/>
    <w:rsid w:val="00851C9C"/>
    <w:rsid w:val="00854696"/>
    <w:rsid w:val="008644BF"/>
    <w:rsid w:val="00867CD3"/>
    <w:rsid w:val="00870C87"/>
    <w:rsid w:val="00874563"/>
    <w:rsid w:val="00882F53"/>
    <w:rsid w:val="00893A95"/>
    <w:rsid w:val="008A50CD"/>
    <w:rsid w:val="008A6043"/>
    <w:rsid w:val="008A66E4"/>
    <w:rsid w:val="008B6134"/>
    <w:rsid w:val="008B6873"/>
    <w:rsid w:val="008C0EC6"/>
    <w:rsid w:val="008C1E46"/>
    <w:rsid w:val="008C2A0C"/>
    <w:rsid w:val="008C4573"/>
    <w:rsid w:val="008C4622"/>
    <w:rsid w:val="008E29D9"/>
    <w:rsid w:val="008E5B97"/>
    <w:rsid w:val="00903138"/>
    <w:rsid w:val="00903FCC"/>
    <w:rsid w:val="00905096"/>
    <w:rsid w:val="00910B5E"/>
    <w:rsid w:val="00912CDE"/>
    <w:rsid w:val="00930183"/>
    <w:rsid w:val="00932FDA"/>
    <w:rsid w:val="00937D83"/>
    <w:rsid w:val="00941D20"/>
    <w:rsid w:val="009451D0"/>
    <w:rsid w:val="00951AEF"/>
    <w:rsid w:val="00957A9B"/>
    <w:rsid w:val="00961507"/>
    <w:rsid w:val="009843A2"/>
    <w:rsid w:val="0098600D"/>
    <w:rsid w:val="009A021D"/>
    <w:rsid w:val="009D0E41"/>
    <w:rsid w:val="009D75D0"/>
    <w:rsid w:val="009E0518"/>
    <w:rsid w:val="009E2313"/>
    <w:rsid w:val="009E293F"/>
    <w:rsid w:val="009E6D8E"/>
    <w:rsid w:val="00A037BD"/>
    <w:rsid w:val="00A15725"/>
    <w:rsid w:val="00A160C0"/>
    <w:rsid w:val="00A23153"/>
    <w:rsid w:val="00A2378C"/>
    <w:rsid w:val="00A32E07"/>
    <w:rsid w:val="00A46F10"/>
    <w:rsid w:val="00A52F70"/>
    <w:rsid w:val="00A568BC"/>
    <w:rsid w:val="00A8675B"/>
    <w:rsid w:val="00AA5F80"/>
    <w:rsid w:val="00AB27E0"/>
    <w:rsid w:val="00AB2AEF"/>
    <w:rsid w:val="00AC36A4"/>
    <w:rsid w:val="00AD6DE9"/>
    <w:rsid w:val="00B07383"/>
    <w:rsid w:val="00B158C4"/>
    <w:rsid w:val="00B176E9"/>
    <w:rsid w:val="00B304FA"/>
    <w:rsid w:val="00B328B1"/>
    <w:rsid w:val="00B3653E"/>
    <w:rsid w:val="00B45BE4"/>
    <w:rsid w:val="00B53B80"/>
    <w:rsid w:val="00B5493F"/>
    <w:rsid w:val="00B64261"/>
    <w:rsid w:val="00B73086"/>
    <w:rsid w:val="00B749E1"/>
    <w:rsid w:val="00B75FB5"/>
    <w:rsid w:val="00B83B88"/>
    <w:rsid w:val="00B87A4D"/>
    <w:rsid w:val="00BA0433"/>
    <w:rsid w:val="00BB27AF"/>
    <w:rsid w:val="00BB7B32"/>
    <w:rsid w:val="00BC45DE"/>
    <w:rsid w:val="00BC7271"/>
    <w:rsid w:val="00BD496C"/>
    <w:rsid w:val="00BD6DBC"/>
    <w:rsid w:val="00BD7170"/>
    <w:rsid w:val="00BD793D"/>
    <w:rsid w:val="00BE266E"/>
    <w:rsid w:val="00BE38E1"/>
    <w:rsid w:val="00BF6B2F"/>
    <w:rsid w:val="00C06348"/>
    <w:rsid w:val="00C0649F"/>
    <w:rsid w:val="00C12BE3"/>
    <w:rsid w:val="00C13545"/>
    <w:rsid w:val="00C269BB"/>
    <w:rsid w:val="00C27375"/>
    <w:rsid w:val="00C41F09"/>
    <w:rsid w:val="00C42F65"/>
    <w:rsid w:val="00C449E9"/>
    <w:rsid w:val="00C45E6D"/>
    <w:rsid w:val="00C47F3D"/>
    <w:rsid w:val="00C50B66"/>
    <w:rsid w:val="00C548FF"/>
    <w:rsid w:val="00C72D34"/>
    <w:rsid w:val="00C73028"/>
    <w:rsid w:val="00C735EE"/>
    <w:rsid w:val="00C74353"/>
    <w:rsid w:val="00C97C00"/>
    <w:rsid w:val="00CA422B"/>
    <w:rsid w:val="00CA52E4"/>
    <w:rsid w:val="00CB5120"/>
    <w:rsid w:val="00CB7685"/>
    <w:rsid w:val="00CC083B"/>
    <w:rsid w:val="00CC0DBD"/>
    <w:rsid w:val="00CC2517"/>
    <w:rsid w:val="00CD0215"/>
    <w:rsid w:val="00CD4EEB"/>
    <w:rsid w:val="00CD60DC"/>
    <w:rsid w:val="00CE1421"/>
    <w:rsid w:val="00CE6622"/>
    <w:rsid w:val="00CF20BB"/>
    <w:rsid w:val="00D00CEA"/>
    <w:rsid w:val="00D03EC0"/>
    <w:rsid w:val="00D10D1C"/>
    <w:rsid w:val="00D136A4"/>
    <w:rsid w:val="00D24392"/>
    <w:rsid w:val="00D270AB"/>
    <w:rsid w:val="00D44F28"/>
    <w:rsid w:val="00D52BCB"/>
    <w:rsid w:val="00D56B28"/>
    <w:rsid w:val="00D57EE3"/>
    <w:rsid w:val="00D624A2"/>
    <w:rsid w:val="00D65185"/>
    <w:rsid w:val="00D71DC0"/>
    <w:rsid w:val="00D752C7"/>
    <w:rsid w:val="00D94330"/>
    <w:rsid w:val="00DA6BC6"/>
    <w:rsid w:val="00DC2336"/>
    <w:rsid w:val="00DC2731"/>
    <w:rsid w:val="00DC285F"/>
    <w:rsid w:val="00DC6B3C"/>
    <w:rsid w:val="00DD2266"/>
    <w:rsid w:val="00DD40F0"/>
    <w:rsid w:val="00DD51C8"/>
    <w:rsid w:val="00DD572F"/>
    <w:rsid w:val="00DF6F0C"/>
    <w:rsid w:val="00E056A5"/>
    <w:rsid w:val="00E11ED8"/>
    <w:rsid w:val="00E168AD"/>
    <w:rsid w:val="00E17125"/>
    <w:rsid w:val="00E31D12"/>
    <w:rsid w:val="00E3373A"/>
    <w:rsid w:val="00E33E1B"/>
    <w:rsid w:val="00E34734"/>
    <w:rsid w:val="00E35F83"/>
    <w:rsid w:val="00E50A77"/>
    <w:rsid w:val="00E5216B"/>
    <w:rsid w:val="00E60131"/>
    <w:rsid w:val="00E95FEF"/>
    <w:rsid w:val="00E96168"/>
    <w:rsid w:val="00E9707C"/>
    <w:rsid w:val="00E9769C"/>
    <w:rsid w:val="00EA0B05"/>
    <w:rsid w:val="00EA3A71"/>
    <w:rsid w:val="00EB4CA2"/>
    <w:rsid w:val="00EB6162"/>
    <w:rsid w:val="00EC5FF8"/>
    <w:rsid w:val="00ED14A1"/>
    <w:rsid w:val="00ED3230"/>
    <w:rsid w:val="00EE7480"/>
    <w:rsid w:val="00EF3C4C"/>
    <w:rsid w:val="00EF5297"/>
    <w:rsid w:val="00EF6A7C"/>
    <w:rsid w:val="00F0381F"/>
    <w:rsid w:val="00F152F7"/>
    <w:rsid w:val="00F160FF"/>
    <w:rsid w:val="00F30CE0"/>
    <w:rsid w:val="00F35143"/>
    <w:rsid w:val="00F45D10"/>
    <w:rsid w:val="00F4729E"/>
    <w:rsid w:val="00F52C29"/>
    <w:rsid w:val="00F565A1"/>
    <w:rsid w:val="00F639AC"/>
    <w:rsid w:val="00F75BDF"/>
    <w:rsid w:val="00F762D6"/>
    <w:rsid w:val="00F76DCB"/>
    <w:rsid w:val="00F84670"/>
    <w:rsid w:val="00F85A85"/>
    <w:rsid w:val="00F942E8"/>
    <w:rsid w:val="00F95663"/>
    <w:rsid w:val="00FC48A5"/>
    <w:rsid w:val="00FC61B5"/>
    <w:rsid w:val="00FD4AE2"/>
    <w:rsid w:val="00FF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D9F0"/>
  <w15:docId w15:val="{83D5DA26-5DFF-4A46-90D6-68D4C034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ja-JP" w:bidi="ar-SA"/>
      </w:rPr>
    </w:rPrDefault>
    <w:pPrDefault>
      <w:pPr>
        <w:spacing w:after="12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eastAsia="vi-VN"/>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E33E1B"/>
    <w:pPr>
      <w:ind w:left="720"/>
      <w:contextualSpacing/>
    </w:pPr>
  </w:style>
  <w:style w:type="paragraph" w:styleId="FootnoteText">
    <w:name w:val="footnote text"/>
    <w:basedOn w:val="Normal"/>
    <w:link w:val="FootnoteTextChar"/>
    <w:uiPriority w:val="99"/>
    <w:semiHidden/>
    <w:unhideWhenUsed/>
    <w:rsid w:val="0004290B"/>
    <w:pPr>
      <w:spacing w:line="240" w:lineRule="auto"/>
      <w:ind w:firstLine="567"/>
    </w:pPr>
    <w:rPr>
      <w:rFonts w:eastAsiaTheme="minorHAnsi" w:cstheme="minorBidi"/>
      <w:position w:val="0"/>
      <w:sz w:val="20"/>
      <w:szCs w:val="20"/>
      <w:lang w:eastAsia="en-US"/>
    </w:rPr>
  </w:style>
  <w:style w:type="character" w:customStyle="1" w:styleId="FootnoteTextChar">
    <w:name w:val="Footnote Text Char"/>
    <w:basedOn w:val="DefaultParagraphFont"/>
    <w:link w:val="FootnoteText"/>
    <w:uiPriority w:val="99"/>
    <w:semiHidden/>
    <w:rsid w:val="0004290B"/>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04290B"/>
    <w:rPr>
      <w:vertAlign w:val="superscript"/>
    </w:rPr>
  </w:style>
  <w:style w:type="paragraph" w:styleId="Header">
    <w:name w:val="header"/>
    <w:basedOn w:val="Normal"/>
    <w:link w:val="HeaderChar"/>
    <w:uiPriority w:val="99"/>
    <w:unhideWhenUsed/>
    <w:rsid w:val="003C3604"/>
    <w:pPr>
      <w:tabs>
        <w:tab w:val="center" w:pos="4680"/>
        <w:tab w:val="right" w:pos="9360"/>
      </w:tabs>
      <w:spacing w:line="240" w:lineRule="auto"/>
    </w:pPr>
  </w:style>
  <w:style w:type="character" w:customStyle="1" w:styleId="HeaderChar">
    <w:name w:val="Header Char"/>
    <w:basedOn w:val="DefaultParagraphFont"/>
    <w:link w:val="Header"/>
    <w:uiPriority w:val="99"/>
    <w:rsid w:val="003C3604"/>
    <w:rPr>
      <w:position w:val="-1"/>
      <w:lang w:eastAsia="vi-VN"/>
    </w:rPr>
  </w:style>
  <w:style w:type="paragraph" w:styleId="Footer">
    <w:name w:val="footer"/>
    <w:basedOn w:val="Normal"/>
    <w:link w:val="FooterChar"/>
    <w:uiPriority w:val="99"/>
    <w:unhideWhenUsed/>
    <w:rsid w:val="003C3604"/>
    <w:pPr>
      <w:tabs>
        <w:tab w:val="center" w:pos="4680"/>
        <w:tab w:val="right" w:pos="9360"/>
      </w:tabs>
      <w:spacing w:line="240" w:lineRule="auto"/>
    </w:pPr>
  </w:style>
  <w:style w:type="character" w:customStyle="1" w:styleId="FooterChar">
    <w:name w:val="Footer Char"/>
    <w:basedOn w:val="DefaultParagraphFont"/>
    <w:link w:val="Footer"/>
    <w:uiPriority w:val="99"/>
    <w:rsid w:val="003C3604"/>
    <w:rPr>
      <w:position w:val="-1"/>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MbgzDhCMBKQEHV7pXCk8fyNvXQ==">AMUW2mVpbDb2IyOle7MQUE5nAdPz/7xMcbH+PCFI0/0wvHSywCg+qJjly826b0Cq7EoDzg28eu76ItcCMPwpRRh9MWadnryObMihyYplui3w+Rd/OEU2UsYuvPbf8+RUzXQOtlWbfZ2dkS3mGIhvPCYiJtQFw0pO2g==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11</cp:lastModifiedBy>
  <cp:revision>350</cp:revision>
  <cp:lastPrinted>2023-10-02T03:39:00Z</cp:lastPrinted>
  <dcterms:created xsi:type="dcterms:W3CDTF">2022-06-16T01:10:00Z</dcterms:created>
  <dcterms:modified xsi:type="dcterms:W3CDTF">2024-09-16T03:40:00Z</dcterms:modified>
</cp:coreProperties>
</file>